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1DAA80">
      <w:pPr>
        <w:autoSpaceDE/>
        <w:autoSpaceDN/>
        <w:adjustRightInd/>
        <w:snapToGrid/>
        <w:spacing w:after="0"/>
        <w:jc w:val="left"/>
        <w:rPr>
          <w:rFonts w:hint="default" w:ascii="Arial" w:hAnsi="Arial" w:eastAsia="Times New Roman" w:cs="Arial"/>
          <w:color w:val="000000"/>
          <w:sz w:val="16"/>
          <w:szCs w:val="16"/>
          <w:lang w:val="en-US"/>
        </w:rPr>
      </w:pPr>
      <w:r>
        <w:rPr>
          <w:b/>
          <w:kern w:val="2"/>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W36oSRsFAACIFgAADgAAAGRycy9lMm9Eb2MueG1s7Vhbb9s2FH4fsP/A&#10;6HHYYpG6u3WaxrksQNcWiDtgDxtKS7QlTBJVkraT/vodkpItOXGWAHub/SDz8vGQ5zsXHfHtu/uq&#10;RGsmZMHriYNPXQexOuVZUS8nzpfZ9S+xg6SidUZLXrOJ88Ck8+7sxx/ebpoxIzznZcYEAiG1HG+a&#10;iZMr1YxHI5nmrKLylDeshskFFxVV0BXLUSboBqRX5Yi4bjjacJE1gqdMShi9tJNOK1G8RCBfLIqU&#10;XfJ0VbFaWamClVSBSjIvGumcmdMuFixVnxYLyRQqJw5oqswTNoH2XD9HZ2/peClokxdpewT6kiPs&#10;6VTRooZNt6IuqaJoJYpHoqoiFVzyhTpNeTWyihhGQAvs7nFzl9OGGV2AatlsSZf/ndj04/qzQEUG&#10;nuCgmlZg8EslzcYfoeegjMkU+LrCgeeTm/PYC5IgiPzkIrzC+GoKLS+IbkI3efNmEsbe+fSP333s&#10;+t6J+V3c/vrp/M/1duQ8unHxNMLYJVckucLRjXfn/ozjB/id3Kqv6yw/uaj5SuapWuU1P/mSld+q&#10;r6tsxOq5FXl8Hhk4MnBk4MjAkYEjA0cG/scM4JO/HJQXWcZ0Ja9r2U0jx1DS3TWfha5GZfOBp39L&#10;VPNpTusley8E3+SMZlBBGvxosEB3JCxF881vPINSkK4UN2Xt/UJUWiAUrOjeVM8P2+qZ3SuUwmDo&#10;BQ5KYVw34CwjOu6WpSupbhg3Iuj6g1S27M6gZYrmrC09Z1CWL6oSKvCfRsjDCdoggkO3K9O3MKhV&#10;t7DQR/nTKNJDxeEhWV4P5eH4kDB/ADt4MqBgdzIvOCQt7MEC/6C0qAd75mzwxbbdFEdh4kfERUCb&#10;C88g8ML2K2dLX9LH4ygJ/fhZPO6bJYiTmPjP4/v2eR7Zt1Hgev4hK+G+mQiJkkPM4r6hcBiEBw2P&#10;+7bCXhgNHAm8d9n5J807l03v69ZnoYUgpCbOLDYR0nCpI0N7MITAzEYXHQNMe/gOnQzQoL5Ge228&#10;PEID83p5Jxx00/AuvB7D8QAOXqbhUV866AXLWiUEfB/rL+MZhoPAt/FM0wxfezPNInwfz4AjE6oN&#10;VZoDcxZoos3EsYGJ8q6l5yq+ZjNuUEqzgd04tIQQHHfH2IHS1bxIL9j34RI/APeBc+PIbz23McKS&#10;gIDj6gkXx+2x7ISrTQkTkWcyhVZxIHnYs9KiOLSLcED6wsIwtuNt0rHowG+3ePkGPo6e3IAkiR0P&#10;YN6Sa7lKQgh3rZ7nbg38r2pgHAwJBmcx4rR0Lc0jZKAf8a3P+YS8XBe7BZAwIKUTBUE2GO+2joKk&#10;s/nQAmU9tPjOSdpcDxbsMN2/1Yq4HXs94R1kuEm7AENuM0Tsn7L1X6DokV7bNa8iiWAwxtOcuz6Q&#10;ra3RhUFnJZyEnrXH66wedxzvO1Hkkye9DoekdYiXWx1cCzxRH3tgXuxF+k0Pw3uhg0nU4l8TiJjA&#10;K8uK24trjElgM95+KngyrwzNn5ZcMggvcCWdvLYNk8VMhtiVJJKXRXZdlKXOXFIs59NSoDWFxHht&#10;fjpMYckAVtY6CUJOCkzKHcwNROjXsK1g9kVUhYKb1LKoJk7cB5XwyjCFma7FbE0359kD1GWC2wtM&#10;uL6FRs7Fdwdt4PJy4shvKyqYg8rbGmq7BPs+OJwyHT+AcgDSen9m3p+hdQqiJo5y4I2mm1MFPViy&#10;akSxzGEn+1qp+XuoBxeFrt7M+eyp2g5cUBqW2stUfQPa7xvU7gL57B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DBwAAW0NvbnRlbnRfVHlwZXNd&#10;LnhtbFBLAQIUAAoAAAAAAIdO4kAAAAAAAAAAAAAAAAAGAAAAAAAAAAAAEAAAAGUGAABfcmVscy9Q&#10;SwECFAAUAAAACACHTuJAihRmPNEAAACUAQAACwAAAAAAAAABACAAAACJBgAAX3JlbHMvLnJlbHNQ&#10;SwECFAAKAAAAAACHTuJAAAAAAAAAAAAAAAAABAAAAAAAAAAAABAAAAAAAAAAZHJzL1BLAQIUABQA&#10;AAAIAIdO4kBNuzdmzwAAAP8AAAAPAAAAAAAAAAEAIAAAACIAAABkcnMvZG93bnJldi54bWxQSwEC&#10;FAAUAAAACACHTuJAW36oSRsFAACIFgAADgAAAAAAAAABACAAAAAeAQAAZHJzL2Uyb0RvYy54bWxQ&#10;SwUGAAAAAAYABgBZAQAAq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kern w:val="2"/>
          <w:lang w:eastAsia="zh-CN"/>
        </w:rPr>
        <w:t>3GPP TSG RAN WG1 #1</w:t>
      </w:r>
      <w:r>
        <w:rPr>
          <w:rFonts w:hint="eastAsia"/>
          <w:b/>
          <w:kern w:val="2"/>
          <w:lang w:eastAsia="zh-CN"/>
        </w:rPr>
        <w:t>2</w:t>
      </w:r>
      <w:r>
        <w:rPr>
          <w:rFonts w:hint="default"/>
          <w:b/>
          <w:kern w:val="2"/>
          <w:lang w:val="en-US" w:eastAsia="zh-CN"/>
        </w:rPr>
        <w:t>3</w:t>
      </w:r>
      <w:r>
        <w:rPr>
          <w:b/>
          <w:kern w:val="2"/>
          <w:lang w:eastAsia="zh-CN"/>
        </w:rPr>
        <w:tab/>
      </w:r>
      <w:r>
        <w:rPr>
          <w:b/>
          <w:kern w:val="2"/>
          <w:lang w:eastAsia="zh-CN"/>
        </w:rPr>
        <w:tab/>
      </w:r>
      <w:r>
        <w:rPr>
          <w:b/>
          <w:kern w:val="2"/>
          <w:lang w:eastAsia="zh-CN"/>
        </w:rPr>
        <w:tab/>
      </w:r>
      <w:r>
        <w:rPr>
          <w:b/>
          <w:kern w:val="2"/>
          <w:lang w:eastAsia="zh-CN"/>
        </w:rPr>
        <w:t xml:space="preserve">                                         </w:t>
      </w:r>
      <w:r>
        <w:rPr>
          <w:rFonts w:hint="eastAsia"/>
          <w:b/>
          <w:kern w:val="2"/>
          <w:lang w:eastAsia="zh-CN"/>
        </w:rPr>
        <w:t xml:space="preserve">               </w:t>
      </w:r>
      <w:r>
        <w:rPr>
          <w:b/>
          <w:kern w:val="2"/>
          <w:lang w:eastAsia="zh-CN"/>
        </w:rPr>
        <w:t xml:space="preserve">               </w:t>
      </w:r>
      <w:r>
        <w:rPr>
          <w:rFonts w:hint="eastAsia"/>
          <w:b/>
          <w:kern w:val="2"/>
          <w:lang w:eastAsia="zh-CN"/>
        </w:rPr>
        <w:t>R1-2508350</w:t>
      </w:r>
    </w:p>
    <w:p w14:paraId="7122C863">
      <w:pPr>
        <w:jc w:val="left"/>
        <w:rPr>
          <w:b/>
          <w:kern w:val="2"/>
          <w:lang w:eastAsia="zh-CN"/>
        </w:rPr>
      </w:pPr>
      <w:r>
        <w:rPr>
          <w:rFonts w:hint="eastAsia"/>
          <w:b/>
          <w:kern w:val="2"/>
          <w:lang w:val="en-US" w:eastAsia="zh-CN"/>
        </w:rPr>
        <w:t>Dallas</w:t>
      </w:r>
      <w:r>
        <w:rPr>
          <w:b/>
          <w:kern w:val="2"/>
          <w:lang w:eastAsia="zh-CN"/>
        </w:rPr>
        <w:t xml:space="preserve">, </w:t>
      </w:r>
      <w:r>
        <w:rPr>
          <w:rFonts w:hint="default"/>
          <w:b/>
          <w:kern w:val="2"/>
          <w:lang w:val="en-US" w:eastAsia="zh-CN"/>
        </w:rPr>
        <w:t>US</w:t>
      </w:r>
      <w:r>
        <w:rPr>
          <w:b/>
          <w:kern w:val="2"/>
          <w:lang w:eastAsia="zh-CN"/>
        </w:rPr>
        <w:t xml:space="preserve">, </w:t>
      </w:r>
      <w:r>
        <w:rPr>
          <w:rFonts w:hint="default"/>
          <w:b/>
          <w:kern w:val="2"/>
          <w:lang w:val="en-US" w:eastAsia="zh-CN"/>
        </w:rPr>
        <w:t>November</w:t>
      </w:r>
      <w:r>
        <w:rPr>
          <w:b/>
          <w:kern w:val="2"/>
          <w:lang w:eastAsia="zh-CN"/>
        </w:rPr>
        <w:t xml:space="preserve"> </w:t>
      </w:r>
      <w:r>
        <w:rPr>
          <w:rFonts w:hint="default"/>
          <w:b/>
          <w:kern w:val="2"/>
          <w:lang w:val="en-US" w:eastAsia="zh-CN"/>
        </w:rPr>
        <w:t>17</w:t>
      </w:r>
      <w:r>
        <w:rPr>
          <w:b/>
          <w:kern w:val="2"/>
          <w:vertAlign w:val="superscript"/>
          <w:lang w:eastAsia="zh-CN"/>
        </w:rPr>
        <w:t>th</w:t>
      </w:r>
      <w:r>
        <w:rPr>
          <w:b/>
          <w:kern w:val="2"/>
          <w:lang w:eastAsia="zh-CN"/>
        </w:rPr>
        <w:t xml:space="preserve"> – </w:t>
      </w:r>
      <w:r>
        <w:rPr>
          <w:rFonts w:hint="default"/>
          <w:b/>
          <w:kern w:val="2"/>
          <w:lang w:val="en-US" w:eastAsia="zh-CN"/>
        </w:rPr>
        <w:t>21</w:t>
      </w:r>
      <w:r>
        <w:rPr>
          <w:rFonts w:hint="default"/>
          <w:b/>
          <w:kern w:val="2"/>
          <w:vertAlign w:val="superscript"/>
          <w:lang w:val="en-US" w:eastAsia="zh-CN"/>
        </w:rPr>
        <w:t>st</w:t>
      </w:r>
      <w:r>
        <w:rPr>
          <w:b/>
          <w:kern w:val="2"/>
          <w:lang w:eastAsia="zh-CN"/>
        </w:rPr>
        <w:t>,</w:t>
      </w:r>
      <w:r>
        <w:rPr>
          <w:rFonts w:hint="eastAsia"/>
          <w:b/>
          <w:kern w:val="2"/>
          <w:lang w:eastAsia="zh-CN"/>
        </w:rPr>
        <w:t xml:space="preserve"> </w:t>
      </w:r>
      <w:r>
        <w:rPr>
          <w:b/>
          <w:kern w:val="2"/>
          <w:lang w:eastAsia="zh-CN"/>
        </w:rPr>
        <w:t>202</w:t>
      </w:r>
      <w:r>
        <w:rPr>
          <w:rFonts w:hint="eastAsia"/>
          <w:b/>
          <w:kern w:val="2"/>
          <w:lang w:eastAsia="zh-CN"/>
        </w:rPr>
        <w:t>5</w:t>
      </w:r>
    </w:p>
    <w:p w14:paraId="0C2C76AE">
      <w:pPr>
        <w:pBdr>
          <w:top w:val="single" w:color="auto" w:sz="4" w:space="1"/>
        </w:pBdr>
        <w:spacing w:after="0"/>
        <w:jc w:val="left"/>
        <w:rPr>
          <w:b/>
          <w:kern w:val="2"/>
          <w:sz w:val="16"/>
          <w:szCs w:val="16"/>
          <w:lang w:eastAsia="zh-CN"/>
        </w:rPr>
      </w:pPr>
    </w:p>
    <w:p w14:paraId="4B0DDD40">
      <w:pPr>
        <w:spacing w:after="60"/>
        <w:ind w:left="1555" w:hanging="1555"/>
        <w:jc w:val="left"/>
        <w:rPr>
          <w:b/>
          <w:kern w:val="2"/>
          <w:lang w:eastAsia="zh-CN"/>
        </w:rPr>
      </w:pPr>
      <w:r>
        <w:rPr>
          <w:b/>
          <w:kern w:val="2"/>
          <w:lang w:eastAsia="zh-CN"/>
        </w:rPr>
        <w:t>Agenda Item:</w:t>
      </w:r>
      <w:r>
        <w:rPr>
          <w:b/>
          <w:kern w:val="2"/>
          <w:lang w:eastAsia="zh-CN"/>
        </w:rPr>
        <w:tab/>
      </w:r>
      <w:r>
        <w:rPr>
          <w:rFonts w:hint="eastAsia"/>
          <w:b/>
          <w:kern w:val="2"/>
          <w:lang w:eastAsia="zh-CN"/>
        </w:rPr>
        <w:t>11.5</w:t>
      </w:r>
    </w:p>
    <w:p w14:paraId="6DEDB6F1">
      <w:pPr>
        <w:spacing w:after="60"/>
        <w:ind w:left="1555" w:hanging="1555"/>
        <w:jc w:val="left"/>
        <w:rPr>
          <w:b/>
          <w:kern w:val="2"/>
          <w:lang w:eastAsia="zh-CN"/>
        </w:rPr>
      </w:pPr>
      <w:r>
        <w:rPr>
          <w:b/>
          <w:kern w:val="2"/>
          <w:lang w:eastAsia="zh-CN"/>
        </w:rPr>
        <w:t>Source:</w:t>
      </w:r>
      <w:r>
        <w:rPr>
          <w:b/>
          <w:kern w:val="2"/>
          <w:lang w:eastAsia="zh-CN"/>
        </w:rPr>
        <w:tab/>
      </w:r>
      <w:r>
        <w:rPr>
          <w:b/>
          <w:kern w:val="2"/>
          <w:lang w:eastAsia="zh-CN"/>
        </w:rPr>
        <w:t xml:space="preserve">TCL  </w:t>
      </w:r>
    </w:p>
    <w:p w14:paraId="53901B75">
      <w:pPr>
        <w:spacing w:after="60"/>
        <w:ind w:left="1555" w:hanging="1555"/>
        <w:jc w:val="left"/>
        <w:rPr>
          <w:b/>
          <w:kern w:val="2"/>
          <w:lang w:eastAsia="zh-CN"/>
        </w:rPr>
      </w:pPr>
      <w:r>
        <w:rPr>
          <w:b/>
          <w:kern w:val="2"/>
          <w:lang w:eastAsia="zh-CN"/>
        </w:rPr>
        <w:t>Title:</w:t>
      </w:r>
      <w:r>
        <w:rPr>
          <w:b/>
          <w:kern w:val="2"/>
          <w:lang w:eastAsia="zh-CN"/>
        </w:rPr>
        <w:tab/>
      </w:r>
      <w:r>
        <w:rPr>
          <w:rFonts w:hint="eastAsia"/>
          <w:b/>
          <w:kern w:val="2"/>
          <w:lang w:eastAsia="zh-CN"/>
        </w:rPr>
        <w:t>Discussion on energy efficiency for 6GR</w:t>
      </w:r>
    </w:p>
    <w:p w14:paraId="5A7A4486">
      <w:pPr>
        <w:spacing w:after="60"/>
        <w:ind w:left="1555" w:hanging="1555"/>
        <w:jc w:val="left"/>
        <w:rPr>
          <w:b/>
          <w:kern w:val="2"/>
          <w:lang w:eastAsia="zh-CN"/>
        </w:rPr>
      </w:pPr>
      <w:r>
        <w:rPr>
          <w:b/>
          <w:kern w:val="2"/>
          <w:lang w:eastAsia="zh-CN"/>
        </w:rPr>
        <w:t>Document for:</w:t>
      </w:r>
      <w:r>
        <w:rPr>
          <w:b/>
          <w:kern w:val="2"/>
          <w:lang w:eastAsia="zh-CN"/>
        </w:rPr>
        <w:tab/>
      </w:r>
      <w:r>
        <w:rPr>
          <w:b/>
          <w:kern w:val="2"/>
          <w:lang w:eastAsia="zh-CN"/>
        </w:rPr>
        <w:t>Discussion</w:t>
      </w:r>
    </w:p>
    <w:p w14:paraId="1FA3AD89">
      <w:pPr>
        <w:pBdr>
          <w:bottom w:val="single" w:color="auto" w:sz="4" w:space="1"/>
        </w:pBdr>
        <w:spacing w:after="0"/>
        <w:jc w:val="left"/>
        <w:rPr>
          <w:b/>
          <w:kern w:val="2"/>
          <w:sz w:val="16"/>
          <w:szCs w:val="16"/>
          <w:lang w:eastAsia="zh-CN"/>
        </w:rPr>
      </w:pPr>
    </w:p>
    <w:p w14:paraId="654526FA">
      <w:pPr>
        <w:pStyle w:val="2"/>
      </w:pPr>
      <w:bookmarkStart w:id="0" w:name="_Ref129681862"/>
      <w:bookmarkStart w:id="1" w:name="_Ref124589705"/>
      <w:r>
        <w:rPr>
          <w:rFonts w:hint="eastAsia"/>
          <w:lang w:eastAsia="zh-CN"/>
        </w:rPr>
        <w:t xml:space="preserve"> </w:t>
      </w:r>
      <w:r>
        <w:t>Introduction</w:t>
      </w:r>
      <w:bookmarkEnd w:id="0"/>
      <w:bookmarkEnd w:id="1"/>
    </w:p>
    <w:p w14:paraId="42278B29">
      <w:r>
        <w:t>One new agenda has been agreed to consider 6G energy efficiency aspects. Here, we copy the introduction of agenda draft as below[1],</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26DE91AD">
        <w:tc>
          <w:tcPr>
            <w:tcW w:w="9307" w:type="dxa"/>
          </w:tcPr>
          <w:p w14:paraId="1AB0C18F">
            <w:pPr>
              <w:widowControl w:val="0"/>
              <w:rPr>
                <w:rFonts w:eastAsia="等线"/>
                <w:bCs/>
                <w:color w:val="000000"/>
                <w:lang w:eastAsia="zh-CN"/>
              </w:rPr>
            </w:pPr>
            <w:r>
              <w:rPr>
                <w:rFonts w:hint="eastAsia" w:eastAsia="等线"/>
                <w:i/>
                <w:iCs/>
                <w:lang w:eastAsia="zh-CN"/>
              </w:rPr>
              <w:t xml:space="preserve">Including discussion of proposal for NW power saving, UE power saving, and joint mechanisms taking both NW and UE into account for power saving, </w:t>
            </w:r>
            <w:r>
              <w:rPr>
                <w:rFonts w:eastAsia="等线"/>
                <w:i/>
                <w:iCs/>
                <w:lang w:eastAsia="zh-CN"/>
              </w:rPr>
              <w:t>targeting</w:t>
            </w:r>
            <w:r>
              <w:rPr>
                <w:rFonts w:hint="eastAsia" w:eastAsia="等线"/>
                <w:i/>
                <w:iCs/>
                <w:lang w:eastAsia="zh-CN"/>
              </w:rPr>
              <w:t xml:space="preserve"> to categorize proposals by RAN1#123. From RAN1#124, proposals will be distributed to respective related agenda.  </w:t>
            </w:r>
          </w:p>
        </w:tc>
      </w:tr>
    </w:tbl>
    <w:p w14:paraId="280A8B8F">
      <w:pPr>
        <w:rPr>
          <w:rFonts w:eastAsia="等线"/>
          <w:lang w:eastAsia="zh-CN"/>
        </w:rPr>
      </w:pPr>
      <w:r>
        <w:rPr>
          <w:rFonts w:hint="eastAsia" w:eastAsia="等线"/>
          <w:lang w:eastAsia="zh-CN"/>
        </w:rPr>
        <w:t>Also</w:t>
      </w:r>
      <w:r>
        <w:rPr>
          <w:rFonts w:eastAsia="等线"/>
          <w:lang w:eastAsia="zh-CN"/>
        </w:rPr>
        <w:t xml:space="preserve">, FL gives us some suggestions for input of upcoming meeting.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7322AF7F">
        <w:tc>
          <w:tcPr>
            <w:tcW w:w="9307" w:type="dxa"/>
          </w:tcPr>
          <w:p w14:paraId="7835812A">
            <w:pPr>
              <w:widowControl w:val="0"/>
              <w:rPr>
                <w:rFonts w:eastAsia="等线"/>
                <w:bCs/>
                <w:color w:val="000000"/>
                <w:lang w:eastAsia="zh-CN"/>
              </w:rPr>
            </w:pPr>
            <w:r>
              <w:rPr>
                <w:b/>
                <w:lang w:val="en-US"/>
              </w:rPr>
              <w:t>RAN1 #123:</w:t>
            </w:r>
            <w:r>
              <w:rPr>
                <w:lang w:val="en-US"/>
              </w:rPr>
              <w:t xml:space="preserve"> Additional agreements on </w:t>
            </w:r>
            <w:r>
              <w:rPr>
                <w:szCs w:val="20"/>
                <w:lang w:val="en-US"/>
              </w:rPr>
              <w:t>candidate technologies</w:t>
            </w:r>
            <w:r>
              <w:rPr>
                <w:lang w:val="en-US"/>
              </w:rPr>
              <w:t xml:space="preserve"> for NW/UE/joint power savings. Finalize models metrics and scenarios for evaluation of energy efficiency. Discuss and capture, if available, observations on issues and evaluation results to assist further studies in specific agenda items.</w:t>
            </w:r>
            <w:r>
              <w:rPr>
                <w:rFonts w:ascii="Times New Roman Italic" w:hAnsi="Times New Roman Italic" w:cs="Times New Roman Italic"/>
                <w:i/>
                <w:sz w:val="22"/>
                <w:lang w:eastAsia="ja-JP"/>
              </w:rPr>
              <w:t xml:space="preserve"> </w:t>
            </w:r>
          </w:p>
        </w:tc>
      </w:tr>
    </w:tbl>
    <w:p w14:paraId="56FFDCF7">
      <w:pPr>
        <w:rPr>
          <w:rFonts w:eastAsia="等线"/>
          <w:lang w:eastAsia="zh-CN"/>
        </w:rPr>
      </w:pPr>
      <w:r>
        <w:rPr>
          <w:rFonts w:hint="eastAsia" w:eastAsia="等线"/>
          <w:lang w:eastAsia="zh-CN"/>
        </w:rPr>
        <w:t>Based</w:t>
      </w:r>
      <w:r>
        <w:rPr>
          <w:rFonts w:eastAsia="等线"/>
          <w:lang w:eastAsia="zh-CN"/>
        </w:rPr>
        <w:t xml:space="preserve"> on above suggestions, t</w:t>
      </w:r>
      <w:r>
        <w:rPr>
          <w:rFonts w:hint="eastAsia" w:eastAsia="等线"/>
          <w:lang w:eastAsia="zh-CN"/>
        </w:rPr>
        <w:t>he following sections</w:t>
      </w:r>
      <w:r>
        <w:rPr>
          <w:rFonts w:eastAsia="等线"/>
          <w:lang w:eastAsia="zh-CN"/>
        </w:rPr>
        <w:t xml:space="preserve"> in this paper</w:t>
      </w:r>
      <w:r>
        <w:rPr>
          <w:rFonts w:hint="eastAsia" w:eastAsia="等线"/>
          <w:lang w:eastAsia="zh-CN"/>
        </w:rPr>
        <w:t xml:space="preserve"> provide</w:t>
      </w:r>
      <w:r>
        <w:rPr>
          <w:rFonts w:eastAsia="等线"/>
          <w:lang w:eastAsia="zh-CN"/>
        </w:rPr>
        <w:t xml:space="preserve">: </w:t>
      </w:r>
    </w:p>
    <w:p w14:paraId="0B066F9A">
      <w:pPr>
        <w:numPr>
          <w:ilvl w:val="0"/>
          <w:numId w:val="8"/>
        </w:numPr>
        <w:rPr>
          <w:rFonts w:eastAsia="等线"/>
          <w:lang w:eastAsia="zh-CN"/>
        </w:rPr>
      </w:pPr>
      <w:r>
        <w:rPr>
          <w:rFonts w:eastAsia="等线"/>
          <w:lang w:eastAsia="zh-CN"/>
        </w:rPr>
        <w:t>As an important topic, we still want to discuss how to consider the impact of 6GR terminal on energy efficiency even related topic being discussed in AI 11.1 or RAN #109.</w:t>
      </w:r>
    </w:p>
    <w:p w14:paraId="473C7196">
      <w:pPr>
        <w:numPr>
          <w:ilvl w:val="0"/>
          <w:numId w:val="8"/>
        </w:numPr>
        <w:rPr>
          <w:rFonts w:eastAsia="等线"/>
          <w:lang w:eastAsia="zh-CN"/>
        </w:rPr>
      </w:pPr>
      <w:r>
        <w:rPr>
          <w:rFonts w:eastAsia="等线"/>
          <w:lang w:eastAsia="zh-CN"/>
        </w:rPr>
        <w:t xml:space="preserve">And then, we are going to discuss </w:t>
      </w:r>
      <w:r>
        <w:rPr>
          <w:rFonts w:hint="eastAsia" w:eastAsia="等线"/>
          <w:lang w:eastAsia="zh-CN"/>
        </w:rPr>
        <w:t>how</w:t>
      </w:r>
      <w:r>
        <w:rPr>
          <w:rFonts w:eastAsia="等线"/>
          <w:lang w:eastAsia="zh-CN"/>
        </w:rPr>
        <w:t xml:space="preserve"> to model 6GR power consumption at both of BS and UE.</w:t>
      </w:r>
    </w:p>
    <w:p w14:paraId="297D0253">
      <w:pPr>
        <w:numPr>
          <w:ilvl w:val="0"/>
          <w:numId w:val="8"/>
        </w:numPr>
        <w:rPr>
          <w:rFonts w:eastAsia="等线"/>
          <w:lang w:eastAsia="zh-CN"/>
        </w:rPr>
      </w:pPr>
      <w:r>
        <w:rPr>
          <w:rFonts w:eastAsia="等线"/>
          <w:lang w:eastAsia="zh-CN"/>
        </w:rPr>
        <w:t>Next, metrics for 6GR energy efficiency will be discussed based on networks or UE requirements, and discuss how to balance the tradeoff between energy efficiency and other KPI like coverage/latency/QoS, etc.</w:t>
      </w:r>
    </w:p>
    <w:p w14:paraId="6ECA62F0">
      <w:pPr>
        <w:numPr>
          <w:ilvl w:val="0"/>
          <w:numId w:val="8"/>
        </w:numPr>
        <w:rPr>
          <w:rFonts w:eastAsia="等线"/>
          <w:lang w:eastAsia="zh-CN"/>
        </w:rPr>
      </w:pPr>
      <w:r>
        <w:rPr>
          <w:rFonts w:eastAsia="等线"/>
          <w:lang w:eastAsia="zh-CN"/>
        </w:rPr>
        <w:t xml:space="preserve">Finally, based on </w:t>
      </w:r>
      <w:r>
        <w:rPr>
          <w:rFonts w:hint="default" w:eastAsia="等线"/>
          <w:lang w:val="en-US" w:eastAsia="zh-CN"/>
        </w:rPr>
        <w:t>several</w:t>
      </w:r>
      <w:r>
        <w:rPr>
          <w:rFonts w:hint="eastAsia" w:eastAsia="等线"/>
          <w:lang w:val="en-US" w:eastAsia="zh-CN"/>
        </w:rPr>
        <w:t xml:space="preserve"> agreement</w:t>
      </w:r>
      <w:r>
        <w:rPr>
          <w:rFonts w:hint="default" w:eastAsia="等线"/>
          <w:lang w:val="en-US" w:eastAsia="zh-CN"/>
        </w:rPr>
        <w:t>s</w:t>
      </w:r>
      <w:r>
        <w:rPr>
          <w:rFonts w:eastAsia="等线"/>
          <w:lang w:eastAsia="zh-CN"/>
        </w:rPr>
        <w:t xml:space="preserve"> in last meeting, we give our opinions about cell</w:t>
      </w:r>
      <w:r>
        <w:rPr>
          <w:rFonts w:hint="eastAsia" w:eastAsia="等线"/>
          <w:lang w:val="en-US" w:eastAsia="zh-CN"/>
        </w:rPr>
        <w:t xml:space="preserve"> </w:t>
      </w:r>
      <w:r>
        <w:rPr>
          <w:rFonts w:eastAsia="等线"/>
          <w:lang w:eastAsia="zh-CN"/>
        </w:rPr>
        <w:t xml:space="preserve">level and UE level related 6GR energy efficiency technologies. </w:t>
      </w:r>
    </w:p>
    <w:p w14:paraId="42313B0B">
      <w:pPr>
        <w:pBdr>
          <w:bottom w:val="single" w:color="auto" w:sz="4" w:space="1"/>
        </w:pBdr>
        <w:spacing w:after="0"/>
        <w:jc w:val="left"/>
        <w:rPr>
          <w:b/>
          <w:kern w:val="2"/>
          <w:sz w:val="16"/>
          <w:szCs w:val="16"/>
          <w:lang w:eastAsia="zh-CN"/>
        </w:rPr>
      </w:pPr>
    </w:p>
    <w:p w14:paraId="339DF3A9">
      <w:pPr>
        <w:pStyle w:val="2"/>
        <w:numPr>
          <w:ilvl w:val="1"/>
          <w:numId w:val="0"/>
        </w:numPr>
        <w:tabs>
          <w:tab w:val="left" w:pos="576"/>
        </w:tabs>
        <w:outlineLvl w:val="0"/>
        <w:rPr>
          <w:rFonts w:hint="eastAsia" w:eastAsia="宋体"/>
          <w:lang w:val="en-US" w:eastAsia="zh-CN"/>
        </w:rPr>
      </w:pPr>
      <w:r>
        <w:t xml:space="preserve">2 </w:t>
      </w:r>
      <w:r>
        <w:rPr>
          <w:rFonts w:hint="eastAsia"/>
          <w:lang w:val="en-US" w:eastAsia="zh-CN"/>
        </w:rPr>
        <w:t>The</w:t>
      </w:r>
      <w:r>
        <w:rPr>
          <w:rFonts w:hint="default"/>
          <w:lang w:val="en-US" w:eastAsia="zh-CN"/>
        </w:rPr>
        <w:t xml:space="preserve"> impact of </w:t>
      </w:r>
      <w:r>
        <w:t>6G</w:t>
      </w:r>
      <w:r>
        <w:rPr>
          <w:rFonts w:hint="default"/>
          <w:lang w:val="en-US"/>
        </w:rPr>
        <w:t>R</w:t>
      </w:r>
      <w:r>
        <w:t xml:space="preserve"> </w:t>
      </w:r>
      <w:r>
        <w:rPr>
          <w:rFonts w:hint="default"/>
          <w:lang w:val="en-US"/>
        </w:rPr>
        <w:t>t</w:t>
      </w:r>
      <w:r>
        <w:t xml:space="preserve">erminal </w:t>
      </w:r>
      <w:r>
        <w:rPr>
          <w:rFonts w:hint="default"/>
          <w:lang w:val="en-US"/>
        </w:rPr>
        <w:t>types on 6GR EE</w:t>
      </w:r>
    </w:p>
    <w:p w14:paraId="700401F0">
      <w:pPr>
        <w:pStyle w:val="85"/>
        <w:rPr>
          <w:sz w:val="22"/>
          <w:szCs w:val="22"/>
        </w:rPr>
      </w:pPr>
      <w:r>
        <w:rPr>
          <w:sz w:val="22"/>
          <w:szCs w:val="22"/>
        </w:rPr>
        <w:t>Device hardware capabilities directly influence energy consumption in 6G UEs. In particul</w:t>
      </w:r>
      <w:r>
        <w:rPr>
          <w:rFonts w:hint="default" w:ascii="Times New Roman" w:hAnsi="Times New Roman" w:cs="Times New Roman"/>
          <w:b w:val="0"/>
          <w:bCs w:val="0"/>
          <w:sz w:val="22"/>
          <w:szCs w:val="22"/>
        </w:rPr>
        <w:t xml:space="preserve">ar, the supported bandwidth and MIMO configuration determine how complex and power-hungry a device will be. </w:t>
      </w:r>
      <w:r>
        <w:rPr>
          <w:rFonts w:hint="default" w:cs="Times New Roman"/>
          <w:b w:val="0"/>
          <w:bCs w:val="0"/>
          <w:sz w:val="22"/>
          <w:szCs w:val="22"/>
          <w:lang w:val="en-US"/>
        </w:rPr>
        <w:t>For example, w</w:t>
      </w:r>
      <w:r>
        <w:rPr>
          <w:sz w:val="22"/>
          <w:szCs w:val="22"/>
        </w:rPr>
        <w:t xml:space="preserve">ide operating bandwidth (e.g. </w:t>
      </w:r>
      <w:r>
        <w:rPr>
          <w:rFonts w:hint="eastAsia"/>
          <w:sz w:val="22"/>
          <w:szCs w:val="22"/>
          <w:lang w:val="en-US" w:eastAsia="zh-CN"/>
        </w:rPr>
        <w:t>200</w:t>
      </w:r>
      <w:r>
        <w:rPr>
          <w:sz w:val="22"/>
          <w:szCs w:val="22"/>
        </w:rPr>
        <w:t> MHz</w:t>
      </w:r>
      <w:r>
        <w:rPr>
          <w:rFonts w:hint="eastAsia"/>
          <w:sz w:val="22"/>
          <w:szCs w:val="22"/>
          <w:lang w:val="en-US" w:eastAsia="zh-CN"/>
        </w:rPr>
        <w:t xml:space="preserve"> or</w:t>
      </w:r>
      <w:r>
        <w:rPr>
          <w:rFonts w:hint="default"/>
          <w:sz w:val="22"/>
          <w:szCs w:val="22"/>
          <w:lang w:val="en-US" w:eastAsia="zh-CN"/>
        </w:rPr>
        <w:t xml:space="preserve"> 400MHz</w:t>
      </w:r>
      <w:r>
        <w:rPr>
          <w:sz w:val="22"/>
          <w:szCs w:val="22"/>
        </w:rPr>
        <w:t xml:space="preserve">) enables high throughput but requires large FFT processing and broad RF filters, raising power draw. Conversely, a narrow channel (e.g. 5–20 MHz) greatly lowers the analog front-end and baseband processing power needed. For instance, reducing a design from 4×4 MIMO at </w:t>
      </w:r>
      <w:r>
        <w:rPr>
          <w:rFonts w:hint="default"/>
          <w:sz w:val="22"/>
          <w:szCs w:val="22"/>
          <w:lang w:val="en-US"/>
        </w:rPr>
        <w:t>2</w:t>
      </w:r>
      <w:r>
        <w:rPr>
          <w:sz w:val="22"/>
          <w:szCs w:val="22"/>
        </w:rPr>
        <w:t xml:space="preserve">00 MHz to 1×1 at </w:t>
      </w:r>
      <w:r>
        <w:rPr>
          <w:rFonts w:hint="default"/>
          <w:sz w:val="22"/>
          <w:szCs w:val="22"/>
          <w:lang w:val="en-US"/>
        </w:rPr>
        <w:t>5</w:t>
      </w:r>
      <w:r>
        <w:rPr>
          <w:sz w:val="22"/>
          <w:szCs w:val="22"/>
        </w:rPr>
        <w:t> MHz can substantially cut circuit power (fewer ADCs, PAs, local oscillators) and signal processing complexity.</w:t>
      </w:r>
      <w:r>
        <w:rPr>
          <w:rFonts w:hint="default"/>
          <w:sz w:val="22"/>
          <w:szCs w:val="22"/>
          <w:lang w:val="en-US"/>
        </w:rPr>
        <w:t xml:space="preserve"> In addition, m</w:t>
      </w:r>
      <w:r>
        <w:rPr>
          <w:sz w:val="22"/>
          <w:szCs w:val="22"/>
        </w:rPr>
        <w:t>ultiple antennas improve spectral efficiency but each RF chain adds energy cost. A 4×4 MIMO smartphone must power four transmit/receive chains, whereas a single-antenna device uses only one chain. Thus, limiting low-tier devices to 1–2 antennas dramatically reduces RF circuitry power and baseline consumption.</w:t>
      </w:r>
    </w:p>
    <w:p w14:paraId="6F75D075">
      <w:pPr>
        <w:pStyle w:val="85"/>
        <w:rPr>
          <w:sz w:val="22"/>
          <w:szCs w:val="22"/>
        </w:rPr>
      </w:pPr>
      <w:r>
        <w:rPr>
          <w:sz w:val="22"/>
          <w:szCs w:val="22"/>
        </w:rPr>
        <w:t>By tailoring these capabilities to the use case, 6G can avoid over-design. High-performance eMBB devices will inherently consume more power due to wide bandwidth and many antennas, but low-complexity IoT devices can be designed with minimal RF/BB resources to maximize energy efficiency. Ensuring each device class only implements the necessary capabilities prevents wasteful power draw and optimizes energy per bit delivered.</w:t>
      </w:r>
    </w:p>
    <w:p w14:paraId="656379AB">
      <w:pPr>
        <w:pStyle w:val="85"/>
        <w:rPr>
          <w:sz w:val="22"/>
          <w:szCs w:val="22"/>
        </w:rPr>
      </w:pPr>
      <w:r>
        <w:rPr>
          <w:sz w:val="22"/>
          <w:szCs w:val="22"/>
        </w:rPr>
        <w:t xml:space="preserve">To support low-cost, low-power devices, 6G will likely mandate a </w:t>
      </w:r>
      <w:r>
        <w:rPr>
          <w:b w:val="0"/>
          <w:bCs w:val="0"/>
          <w:sz w:val="22"/>
          <w:szCs w:val="22"/>
        </w:rPr>
        <w:t>minimal bandwidth capability</w:t>
      </w:r>
      <w:r>
        <w:rPr>
          <w:sz w:val="22"/>
          <w:szCs w:val="22"/>
        </w:rPr>
        <w:t xml:space="preserve"> that every device must support. </w:t>
      </w:r>
      <w:r>
        <w:rPr>
          <w:rFonts w:hint="default"/>
          <w:sz w:val="22"/>
          <w:szCs w:val="22"/>
          <w:lang w:val="en-US"/>
        </w:rPr>
        <w:t>In RAN 1#122 or RAN 1#122b,</w:t>
      </w:r>
      <w:r>
        <w:rPr>
          <w:sz w:val="22"/>
          <w:szCs w:val="22"/>
        </w:rPr>
        <w:t xml:space="preserve"> discussions propose that all 6G UEs handle at least a small channel (on the order of 3 MHz to 5 MHz) for initial access and basic connectivity. This guarantees that even the most constrained IoT devices can acquire the network on a narrowband carrier. Importantly, such a minimal bandwidth </w:t>
      </w:r>
      <w:r>
        <w:rPr>
          <w:b w:val="0"/>
          <w:bCs w:val="0"/>
          <w:sz w:val="22"/>
          <w:szCs w:val="22"/>
        </w:rPr>
        <w:t>reduces RF front-end complexity</w:t>
      </w:r>
      <w:r>
        <w:rPr>
          <w:sz w:val="22"/>
          <w:szCs w:val="22"/>
        </w:rPr>
        <w:t xml:space="preserve"> in the device–e.g. simpler filters and smaller FFT sizes – which lowers the idle and receive power consumption baseline. By ensuring a common narrow channel, 6G can include ultra-low-power device types within the main system design, rather than as a completely separate RAT.</w:t>
      </w:r>
    </w:p>
    <w:p w14:paraId="2DB9CE35">
      <w:pPr>
        <w:pStyle w:val="5"/>
        <w:rPr>
          <w:rFonts w:hint="default" w:ascii="Times New Roman Bold Italic" w:hAnsi="Times New Roman Bold Italic" w:cs="Times New Roman Bold Italic"/>
          <w:b/>
          <w:bCs/>
          <w:i/>
          <w:iCs/>
          <w:sz w:val="22"/>
          <w:szCs w:val="22"/>
        </w:rPr>
      </w:pPr>
      <w:r>
        <w:rPr>
          <w:rFonts w:hint="default" w:ascii="Times New Roman Bold Italic" w:hAnsi="Times New Roman Bold Italic" w:cs="Times New Roman Bold Italic"/>
          <w:b/>
          <w:bCs/>
          <w:i/>
          <w:iCs/>
          <w:sz w:val="22"/>
          <w:szCs w:val="22"/>
        </w:rPr>
        <w:t>Observation</w:t>
      </w:r>
      <w:r>
        <w:rPr>
          <w:rFonts w:hint="default" w:ascii="Times New Roman Bold Italic" w:hAnsi="Times New Roman Bold Italic" w:cs="Times New Roman Bold Italic"/>
          <w:b/>
          <w:bCs/>
          <w:i/>
          <w:iCs/>
          <w:sz w:val="22"/>
          <w:szCs w:val="22"/>
          <w:lang w:val="en-US"/>
        </w:rPr>
        <w:t xml:space="preserve"> 1</w:t>
      </w:r>
      <w:r>
        <w:rPr>
          <w:rFonts w:hint="default" w:ascii="Times New Roman Bold Italic" w:hAnsi="Times New Roman Bold Italic" w:cs="Times New Roman Bold Italic"/>
          <w:b/>
          <w:bCs/>
          <w:i/>
          <w:iCs/>
          <w:sz w:val="22"/>
          <w:szCs w:val="22"/>
        </w:rPr>
        <w:t>:</w:t>
      </w:r>
      <w:r>
        <w:rPr>
          <w:sz w:val="22"/>
          <w:szCs w:val="22"/>
        </w:rPr>
        <w:t xml:space="preserve"> </w:t>
      </w:r>
      <w:r>
        <w:rPr>
          <w:rFonts w:hint="default" w:ascii="Times New Roman Bold Italic" w:hAnsi="Times New Roman Bold Italic" w:cs="Times New Roman Bold Italic"/>
          <w:b/>
          <w:bCs/>
          <w:i/>
          <w:iCs/>
          <w:sz w:val="22"/>
          <w:szCs w:val="22"/>
        </w:rPr>
        <w:t xml:space="preserve">All 6G UEs </w:t>
      </w:r>
      <w:r>
        <w:rPr>
          <w:rFonts w:hint="default" w:ascii="Times New Roman Bold Italic" w:hAnsi="Times New Roman Bold Italic" w:cs="Times New Roman Bold Italic"/>
          <w:b/>
          <w:bCs/>
          <w:i/>
          <w:iCs/>
          <w:sz w:val="22"/>
          <w:szCs w:val="22"/>
          <w:lang w:val="en-US"/>
        </w:rPr>
        <w:t>will</w:t>
      </w:r>
      <w:r>
        <w:rPr>
          <w:rFonts w:hint="default" w:ascii="Times New Roman Bold Italic" w:hAnsi="Times New Roman Bold Italic" w:cs="Times New Roman Bold Italic"/>
          <w:b/>
          <w:bCs/>
          <w:i/>
          <w:iCs/>
          <w:sz w:val="22"/>
          <w:szCs w:val="22"/>
        </w:rPr>
        <w:t xml:space="preserve"> support a minimal narrow bandwidth (3</w:t>
      </w:r>
      <w:r>
        <w:rPr>
          <w:rFonts w:hint="default" w:ascii="Times New Roman Bold Italic" w:hAnsi="Times New Roman Bold Italic" w:cs="Times New Roman Bold Italic"/>
          <w:b/>
          <w:bCs/>
          <w:i/>
          <w:iCs/>
          <w:sz w:val="22"/>
          <w:szCs w:val="22"/>
          <w:lang w:val="en-US"/>
        </w:rPr>
        <w:t xml:space="preserve"> or </w:t>
      </w:r>
      <w:r>
        <w:rPr>
          <w:rFonts w:hint="default" w:ascii="Times New Roman Bold Italic" w:hAnsi="Times New Roman Bold Italic" w:cs="Times New Roman Bold Italic"/>
          <w:b/>
          <w:bCs/>
          <w:i/>
          <w:iCs/>
          <w:sz w:val="22"/>
          <w:szCs w:val="22"/>
        </w:rPr>
        <w:t>5 MHz) for network access, enabling simpler IoT device designs with significantly lower baseline power consumption.</w:t>
      </w:r>
    </w:p>
    <w:p w14:paraId="53407FB8">
      <w:pPr>
        <w:pStyle w:val="85"/>
        <w:rPr>
          <w:rFonts w:hint="default"/>
          <w:sz w:val="22"/>
          <w:szCs w:val="22"/>
          <w:lang w:val="en-US" w:eastAsia="zh-CN"/>
        </w:rPr>
      </w:pPr>
      <w:r>
        <w:rPr>
          <w:rFonts w:hint="default" w:ascii="Times New Roman" w:hAnsi="Times New Roman" w:cs="Times New Roman"/>
          <w:b w:val="0"/>
          <w:bCs w:val="0"/>
          <w:sz w:val="22"/>
          <w:szCs w:val="22"/>
          <w:lang w:val="en-US" w:eastAsia="zh-CN"/>
        </w:rPr>
        <w:t>In addition, e</w:t>
      </w:r>
      <w:r>
        <w:rPr>
          <w:rFonts w:hint="default" w:ascii="Times New Roman" w:hAnsi="Times New Roman" w:cs="Times New Roman"/>
          <w:b w:val="0"/>
          <w:bCs w:val="0"/>
          <w:sz w:val="22"/>
          <w:szCs w:val="22"/>
        </w:rPr>
        <w:t xml:space="preserve">stablishing UE classes influences hardware design and power management strategies at the device level. RF and BB design can be optimized per class: for example, an IoT-class UE can use a single RF chain, a low-cost oscillator, and minimal analog components, whereas an eMBB UE will include multiple high-linearity RF chains and a powerful baseband to handle complex modulation and bandwidth. By knowing the class requirements, </w:t>
      </w:r>
      <w:r>
        <w:rPr>
          <w:rFonts w:hint="eastAsia" w:cs="Times New Roman"/>
          <w:b w:val="0"/>
          <w:bCs w:val="0"/>
          <w:sz w:val="22"/>
          <w:szCs w:val="22"/>
          <w:lang w:val="en-US" w:eastAsia="zh-CN"/>
        </w:rPr>
        <w:t>we</w:t>
      </w:r>
      <w:r>
        <w:rPr>
          <w:rFonts w:hint="default" w:ascii="Times New Roman" w:hAnsi="Times New Roman" w:cs="Times New Roman"/>
          <w:b w:val="0"/>
          <w:bCs w:val="0"/>
          <w:sz w:val="22"/>
          <w:szCs w:val="22"/>
        </w:rPr>
        <w:t xml:space="preserve"> can simplify the RF/BB architecture for lower tiers (fewer PA/LNA stages, smaller memory and processing units) which directly reduces energy consumption in both active and idle modes. Mid-tier devices strike a balance, reusing some smartphone components but at lower counts or speeds (e.g. two antennas instead of four, half the DSP clock rate, etc.).</w:t>
      </w:r>
      <w:r>
        <w:rPr>
          <w:rFonts w:hint="default" w:cs="Times New Roman"/>
          <w:b w:val="0"/>
          <w:bCs w:val="0"/>
          <w:sz w:val="22"/>
          <w:szCs w:val="22"/>
          <w:lang w:val="en-US"/>
        </w:rPr>
        <w:t xml:space="preserve"> </w:t>
      </w:r>
      <w:r>
        <w:rPr>
          <w:rFonts w:hint="default" w:ascii="Times New Roman" w:hAnsi="Times New Roman" w:cs="Times New Roman"/>
          <w:b w:val="0"/>
          <w:bCs w:val="0"/>
          <w:sz w:val="22"/>
          <w:szCs w:val="22"/>
        </w:rPr>
        <w:t>Furthermore, the sleep and DRX mechanisms in 6G are expected to be class-dependent. An IoT device will capitalize on very long DRX cycles – potentially tens of seconds between wake-ups – to minimize its duty cycle</w:t>
      </w:r>
      <w:r>
        <w:rPr>
          <w:rFonts w:hint="default" w:cs="Times New Roman"/>
          <w:b w:val="0"/>
          <w:bCs w:val="0"/>
          <w:sz w:val="22"/>
          <w:szCs w:val="22"/>
          <w:lang w:val="en-US"/>
        </w:rPr>
        <w:t>.</w:t>
      </w:r>
    </w:p>
    <w:p w14:paraId="4CDF120A">
      <w:pPr>
        <w:pStyle w:val="5"/>
        <w:rPr>
          <w:rFonts w:hint="default" w:ascii="Times New Roman Bold Italic" w:hAnsi="Times New Roman Bold Italic" w:cs="Times New Roman Bold Italic"/>
          <w:b/>
          <w:bCs/>
          <w:i/>
          <w:iCs/>
          <w:kern w:val="2"/>
          <w:sz w:val="22"/>
          <w:szCs w:val="22"/>
          <w:lang w:eastAsia="zh-CN"/>
        </w:rPr>
      </w:pPr>
      <w:r>
        <w:rPr>
          <w:rFonts w:hint="default" w:ascii="Times New Roman Bold Italic" w:hAnsi="Times New Roman Bold Italic" w:cs="Times New Roman Bold Italic"/>
          <w:b/>
          <w:bCs/>
          <w:i/>
          <w:iCs/>
          <w:sz w:val="22"/>
          <w:szCs w:val="22"/>
        </w:rPr>
        <w:t>Observation</w:t>
      </w:r>
      <w:r>
        <w:rPr>
          <w:rFonts w:hint="default" w:ascii="Times New Roman Bold Italic" w:hAnsi="Times New Roman Bold Italic" w:cs="Times New Roman Bold Italic"/>
          <w:b/>
          <w:bCs/>
          <w:i/>
          <w:iCs/>
          <w:sz w:val="22"/>
          <w:szCs w:val="22"/>
          <w:lang w:val="en-US"/>
        </w:rPr>
        <w:t xml:space="preserve"> 2</w:t>
      </w:r>
      <w:r>
        <w:rPr>
          <w:rFonts w:hint="default" w:ascii="Times New Roman Bold Italic" w:hAnsi="Times New Roman Bold Italic" w:cs="Times New Roman Bold Italic"/>
          <w:b/>
          <w:bCs/>
          <w:i/>
          <w:iCs/>
          <w:sz w:val="22"/>
          <w:szCs w:val="22"/>
        </w:rPr>
        <w:t xml:space="preserve">: </w:t>
      </w:r>
      <w:r>
        <w:rPr>
          <w:rFonts w:hint="default" w:ascii="Times New Roman Bold Italic" w:hAnsi="Times New Roman Bold Italic" w:cs="Times New Roman Bold Italic"/>
          <w:b/>
          <w:bCs/>
          <w:i/>
          <w:iCs/>
          <w:sz w:val="22"/>
          <w:szCs w:val="22"/>
          <w:lang w:val="en-US"/>
        </w:rPr>
        <w:t>A</w:t>
      </w:r>
      <w:r>
        <w:rPr>
          <w:rFonts w:hint="default" w:ascii="Times New Roman Bold Italic" w:hAnsi="Times New Roman Bold Italic" w:cs="Times New Roman Bold Italic"/>
          <w:b/>
          <w:bCs/>
          <w:i/>
          <w:iCs/>
          <w:sz w:val="22"/>
          <w:szCs w:val="22"/>
        </w:rPr>
        <w:t xml:space="preserve"> few distinct 6G device classes (IoT, mid-tier, eMBB) from the outset ensures tailored energy-saving designs for each </w:t>
      </w:r>
      <w:r>
        <w:rPr>
          <w:rFonts w:hint="default" w:ascii="Times New Roman Bold Italic" w:hAnsi="Times New Roman Bold Italic" w:cs="Times New Roman Bold Italic"/>
          <w:b/>
          <w:bCs/>
          <w:i/>
          <w:iCs/>
          <w:sz w:val="22"/>
          <w:szCs w:val="22"/>
          <w:lang w:val="en-US"/>
        </w:rPr>
        <w:t>device type, which could</w:t>
      </w:r>
      <w:r>
        <w:rPr>
          <w:rFonts w:hint="default" w:ascii="Times New Roman Bold Italic" w:hAnsi="Times New Roman Bold Italic" w:cs="Times New Roman Bold Italic"/>
          <w:b/>
          <w:bCs/>
          <w:i/>
          <w:iCs/>
          <w:sz w:val="22"/>
          <w:szCs w:val="22"/>
        </w:rPr>
        <w:t xml:space="preserve"> </w:t>
      </w:r>
      <w:r>
        <w:rPr>
          <w:rFonts w:hint="default" w:ascii="Times New Roman Bold Italic" w:hAnsi="Times New Roman Bold Italic" w:cs="Times New Roman Bold Italic"/>
          <w:b/>
          <w:bCs/>
          <w:i/>
          <w:iCs/>
          <w:sz w:val="22"/>
          <w:szCs w:val="22"/>
          <w:lang w:val="en-US"/>
        </w:rPr>
        <w:t>improve discussion efficiency for 6G EE topic</w:t>
      </w:r>
      <w:r>
        <w:rPr>
          <w:rFonts w:hint="default" w:ascii="Times New Roman Bold Italic" w:hAnsi="Times New Roman Bold Italic" w:cs="Times New Roman Bold Italic"/>
          <w:b/>
          <w:bCs/>
          <w:i/>
          <w:iCs/>
          <w:sz w:val="22"/>
          <w:szCs w:val="22"/>
        </w:rPr>
        <w:t>.</w:t>
      </w:r>
    </w:p>
    <w:p w14:paraId="5D388CE3">
      <w:pPr>
        <w:pBdr>
          <w:bottom w:val="single" w:color="auto" w:sz="4" w:space="1"/>
        </w:pBdr>
        <w:spacing w:after="0"/>
        <w:jc w:val="left"/>
        <w:rPr>
          <w:b/>
          <w:kern w:val="2"/>
          <w:sz w:val="16"/>
          <w:szCs w:val="16"/>
          <w:lang w:eastAsia="zh-CN"/>
        </w:rPr>
      </w:pPr>
    </w:p>
    <w:p w14:paraId="00C5E697">
      <w:pPr>
        <w:pBdr>
          <w:bottom w:val="single" w:color="auto" w:sz="4" w:space="1"/>
        </w:pBdr>
        <w:spacing w:after="0"/>
        <w:jc w:val="left"/>
        <w:rPr>
          <w:rFonts w:hint="default" w:ascii="Times New Roman Bold Italic" w:hAnsi="Times New Roman Bold Italic" w:cs="Times New Roman Bold Italic"/>
          <w:b/>
          <w:i/>
          <w:iCs/>
          <w:kern w:val="2"/>
          <w:sz w:val="22"/>
          <w:szCs w:val="22"/>
          <w:lang w:val="en-US" w:eastAsia="zh-CN"/>
        </w:rPr>
      </w:pPr>
      <w:r>
        <w:rPr>
          <w:rFonts w:hint="default" w:ascii="Times New Roman Bold Italic" w:hAnsi="Times New Roman Bold Italic" w:cs="Times New Roman Bold Italic"/>
          <w:b/>
          <w:i/>
          <w:iCs/>
          <w:kern w:val="2"/>
          <w:sz w:val="22"/>
          <w:szCs w:val="22"/>
          <w:lang w:val="en-US" w:eastAsia="zh-CN"/>
        </w:rPr>
        <w:t>Proposal 1: Discuss how UE</w:t>
      </w:r>
      <w:r>
        <w:rPr>
          <w:rFonts w:hint="eastAsia" w:ascii="Times New Roman Bold Italic" w:hAnsi="Times New Roman Bold Italic" w:cs="Times New Roman Bold Italic"/>
          <w:b/>
          <w:i/>
          <w:iCs/>
          <w:kern w:val="2"/>
          <w:sz w:val="22"/>
          <w:szCs w:val="22"/>
          <w:lang w:val="en-US" w:eastAsia="zh-CN"/>
        </w:rPr>
        <w:t xml:space="preserve"> capability</w:t>
      </w:r>
      <w:r>
        <w:rPr>
          <w:rFonts w:hint="default" w:ascii="Times New Roman Bold Italic" w:hAnsi="Times New Roman Bold Italic" w:cs="Times New Roman Bold Italic"/>
          <w:b/>
          <w:i/>
          <w:iCs/>
          <w:kern w:val="2"/>
          <w:sz w:val="22"/>
          <w:szCs w:val="22"/>
          <w:lang w:val="en-US" w:eastAsia="zh-CN"/>
        </w:rPr>
        <w:t xml:space="preserve"> impact on 6GR energy efficiency.</w:t>
      </w:r>
    </w:p>
    <w:p w14:paraId="32759314">
      <w:pPr>
        <w:pBdr>
          <w:bottom w:val="single" w:color="auto" w:sz="4" w:space="1"/>
        </w:pBdr>
        <w:spacing w:after="0"/>
        <w:jc w:val="left"/>
        <w:rPr>
          <w:b/>
          <w:kern w:val="2"/>
          <w:sz w:val="16"/>
          <w:szCs w:val="16"/>
          <w:lang w:eastAsia="zh-CN"/>
        </w:rPr>
      </w:pPr>
    </w:p>
    <w:p w14:paraId="717094AE">
      <w:pPr>
        <w:pStyle w:val="2"/>
        <w:numPr>
          <w:ilvl w:val="0"/>
          <w:numId w:val="0"/>
        </w:numPr>
        <w:ind w:leftChars="0"/>
        <w:rPr>
          <w:lang w:eastAsia="zh-CN"/>
        </w:rPr>
      </w:pPr>
      <w:r>
        <w:rPr>
          <w:rFonts w:hint="default"/>
          <w:szCs w:val="24"/>
          <w:lang w:val="en-US" w:eastAsia="zh-CN"/>
        </w:rPr>
        <w:t>3</w:t>
      </w:r>
      <w:r>
        <w:rPr>
          <w:szCs w:val="24"/>
          <w:lang w:eastAsia="zh-CN"/>
        </w:rPr>
        <w:t xml:space="preserve"> </w:t>
      </w:r>
      <w:r>
        <w:rPr>
          <w:rFonts w:hint="eastAsia"/>
          <w:szCs w:val="24"/>
          <w:lang w:eastAsia="zh-CN"/>
        </w:rPr>
        <w:t>M</w:t>
      </w:r>
      <w:r>
        <w:rPr>
          <w:szCs w:val="24"/>
        </w:rPr>
        <w:t>etrics</w:t>
      </w:r>
      <w:r>
        <w:rPr>
          <w:rFonts w:hint="default"/>
          <w:szCs w:val="24"/>
          <w:lang w:val="en-US"/>
        </w:rPr>
        <w:t xml:space="preserve"> </w:t>
      </w:r>
      <w:r>
        <w:rPr>
          <w:szCs w:val="24"/>
        </w:rPr>
        <w:t xml:space="preserve">for </w:t>
      </w:r>
      <w:r>
        <w:rPr>
          <w:rFonts w:hint="eastAsia"/>
          <w:szCs w:val="24"/>
          <w:lang w:eastAsia="zh-CN"/>
        </w:rPr>
        <w:t>6GR</w:t>
      </w:r>
      <w:r>
        <w:rPr>
          <w:szCs w:val="24"/>
        </w:rPr>
        <w:t xml:space="preserve"> energy efficiency</w:t>
      </w:r>
      <w:r>
        <w:rPr>
          <w:rFonts w:hint="eastAsia"/>
          <w:szCs w:val="24"/>
          <w:lang w:val="en-US" w:eastAsia="zh-CN"/>
        </w:rPr>
        <w:t xml:space="preserve"> </w:t>
      </w:r>
    </w:p>
    <w:p w14:paraId="1D9814A9">
      <w:bookmarkStart w:id="2" w:name="OLE_LINK19"/>
      <w:r>
        <w:rPr>
          <w:rFonts w:hint="eastAsia"/>
          <w:lang w:eastAsia="zh-CN"/>
        </w:rPr>
        <w:t>In</w:t>
      </w:r>
      <w:r>
        <w:rPr>
          <w:lang w:eastAsia="zh-CN"/>
        </w:rPr>
        <w:t xml:space="preserve"> last meeting, one agreement has been discussed for further study or evaluation.</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16ABC5FB">
        <w:tc>
          <w:tcPr>
            <w:tcW w:w="9307" w:type="dxa"/>
          </w:tcPr>
          <w:p w14:paraId="281D0381">
            <w:pPr>
              <w:widowControl w:val="0"/>
              <w:rPr>
                <w:rFonts w:eastAsiaTheme="minorEastAsia"/>
                <w:highlight w:val="green"/>
                <w:lang w:eastAsia="zh-CN"/>
              </w:rPr>
            </w:pPr>
            <w:r>
              <w:rPr>
                <w:rFonts w:hint="eastAsia" w:eastAsiaTheme="minorEastAsia"/>
                <w:highlight w:val="green"/>
                <w:lang w:eastAsia="zh-CN"/>
              </w:rPr>
              <w:t>Agreement</w:t>
            </w:r>
          </w:p>
          <w:p w14:paraId="1755C97D">
            <w:pPr>
              <w:widowControl w:val="0"/>
              <w:rPr>
                <w:rFonts w:eastAsiaTheme="minorEastAsia"/>
                <w:lang w:eastAsia="zh-CN"/>
              </w:rPr>
            </w:pPr>
            <w:r>
              <w:rPr>
                <w:rFonts w:eastAsia="PMingLiU"/>
                <w:lang w:eastAsia="zh-TW"/>
              </w:rPr>
              <w:t>At least the following NR metrics</w:t>
            </w:r>
            <w:r>
              <w:rPr>
                <w:rFonts w:hint="eastAsia" w:eastAsiaTheme="minorEastAsia"/>
                <w:lang w:eastAsia="zh-CN"/>
              </w:rPr>
              <w:t>,</w:t>
            </w:r>
          </w:p>
          <w:p w14:paraId="24EE6B74">
            <w:pPr>
              <w:widowControl w:val="0"/>
              <w:numPr>
                <w:ilvl w:val="0"/>
                <w:numId w:val="9"/>
              </w:numPr>
              <w:suppressAutoHyphens/>
              <w:spacing w:after="160" w:line="259" w:lineRule="auto"/>
              <w:rPr>
                <w:rFonts w:eastAsia="PMingLiU"/>
                <w:lang w:eastAsia="zh-TW"/>
              </w:rPr>
            </w:pPr>
            <w:r>
              <w:rPr>
                <w:rFonts w:eastAsia="PMingLiU"/>
                <w:lang w:eastAsia="zh-TW"/>
              </w:rPr>
              <w:t>Network energy saving gain relative to baseline</w:t>
            </w:r>
            <w:r>
              <w:rPr>
                <w:rFonts w:hint="eastAsia" w:eastAsiaTheme="minorEastAsia"/>
                <w:lang w:eastAsia="zh-CN"/>
              </w:rPr>
              <w:t xml:space="preserve"> for BS</w:t>
            </w:r>
          </w:p>
          <w:p w14:paraId="35DBE8F1">
            <w:pPr>
              <w:widowControl w:val="0"/>
              <w:numPr>
                <w:ilvl w:val="0"/>
                <w:numId w:val="9"/>
              </w:numPr>
              <w:suppressAutoHyphens/>
              <w:spacing w:after="160" w:line="259" w:lineRule="auto"/>
              <w:rPr>
                <w:rFonts w:eastAsia="PMingLiU"/>
                <w:lang w:eastAsia="zh-TW"/>
              </w:rPr>
            </w:pPr>
            <w:r>
              <w:rPr>
                <w:rFonts w:eastAsia="PMingLiU"/>
                <w:lang w:eastAsia="zh-TW"/>
              </w:rPr>
              <w:t xml:space="preserve">UE </w:t>
            </w:r>
            <w:r>
              <w:rPr>
                <w:rFonts w:hint="eastAsia" w:eastAsiaTheme="minorEastAsia"/>
                <w:lang w:eastAsia="zh-CN"/>
              </w:rPr>
              <w:t>energy</w:t>
            </w:r>
            <w:r>
              <w:rPr>
                <w:rFonts w:eastAsia="PMingLiU"/>
                <w:lang w:eastAsia="zh-TW"/>
              </w:rPr>
              <w:t xml:space="preserve"> saving gain relative to baseline</w:t>
            </w:r>
            <w:r>
              <w:rPr>
                <w:rFonts w:hint="eastAsia" w:eastAsiaTheme="minorEastAsia"/>
                <w:lang w:eastAsia="zh-CN"/>
              </w:rPr>
              <w:t xml:space="preserve"> for UE</w:t>
            </w:r>
          </w:p>
          <w:p w14:paraId="266AA6EB">
            <w:pPr>
              <w:widowControl w:val="0"/>
              <w:numPr>
                <w:ilvl w:val="0"/>
                <w:numId w:val="9"/>
              </w:numPr>
              <w:suppressAutoHyphens/>
              <w:spacing w:after="160" w:line="259" w:lineRule="auto"/>
              <w:rPr>
                <w:rFonts w:eastAsia="PMingLiU"/>
                <w:lang w:eastAsia="zh-TW"/>
              </w:rPr>
            </w:pPr>
            <w:r>
              <w:rPr>
                <w:rFonts w:eastAsia="PMingLiU"/>
                <w:lang w:eastAsia="zh-TW"/>
              </w:rPr>
              <w:t xml:space="preserve">Impact to UPT (User-Perceived Throughput), if </w:t>
            </w:r>
            <w:r>
              <w:rPr>
                <w:rFonts w:hint="eastAsia" w:eastAsiaTheme="minorEastAsia"/>
                <w:lang w:eastAsia="zh-CN"/>
              </w:rPr>
              <w:t>applicable,</w:t>
            </w:r>
          </w:p>
          <w:p w14:paraId="26EAD6B1">
            <w:pPr>
              <w:widowControl w:val="0"/>
              <w:rPr>
                <w:rFonts w:eastAsiaTheme="minorEastAsia"/>
                <w:lang w:eastAsia="zh-CN"/>
              </w:rPr>
            </w:pPr>
            <w:r>
              <w:rPr>
                <w:rFonts w:hint="eastAsia" w:eastAsiaTheme="minorEastAsia"/>
                <w:lang w:eastAsia="zh-CN"/>
              </w:rPr>
              <w:t xml:space="preserve">as well as the metrics </w:t>
            </w:r>
          </w:p>
          <w:p w14:paraId="56693D40">
            <w:pPr>
              <w:widowControl w:val="0"/>
              <w:numPr>
                <w:ilvl w:val="0"/>
                <w:numId w:val="9"/>
              </w:numPr>
              <w:suppressAutoHyphens/>
              <w:spacing w:after="160" w:line="259" w:lineRule="auto"/>
              <w:rPr>
                <w:rFonts w:eastAsia="PMingLiU"/>
                <w:lang w:eastAsia="zh-TW"/>
              </w:rPr>
            </w:pPr>
            <w:r>
              <w:rPr>
                <w:rFonts w:hint="eastAsia" w:eastAsia="PMingLiU"/>
                <w:lang w:eastAsia="zh-TW"/>
              </w:rPr>
              <w:t>Impact to l</w:t>
            </w:r>
            <w:r>
              <w:rPr>
                <w:rFonts w:eastAsia="PMingLiU"/>
                <w:lang w:eastAsia="zh-TW"/>
              </w:rPr>
              <w:t>atency, if applicable</w:t>
            </w:r>
          </w:p>
          <w:p w14:paraId="06A6F13C">
            <w:pPr>
              <w:widowControl w:val="0"/>
              <w:numPr>
                <w:ilvl w:val="0"/>
                <w:numId w:val="9"/>
              </w:numPr>
              <w:suppressAutoHyphens/>
              <w:spacing w:after="160" w:line="259" w:lineRule="auto"/>
              <w:rPr>
                <w:rFonts w:eastAsia="PMingLiU"/>
                <w:lang w:eastAsia="zh-TW"/>
              </w:rPr>
            </w:pPr>
            <w:r>
              <w:rPr>
                <w:rFonts w:eastAsiaTheme="minorEastAsia"/>
                <w:lang w:eastAsia="zh-CN"/>
              </w:rPr>
              <w:t>I</w:t>
            </w:r>
            <w:r>
              <w:rPr>
                <w:rFonts w:hint="eastAsia" w:eastAsiaTheme="minorEastAsia"/>
                <w:lang w:eastAsia="zh-CN"/>
              </w:rPr>
              <w:t>mpact to QoS/</w:t>
            </w:r>
            <w:r>
              <w:rPr>
                <w:rFonts w:eastAsia="PMingLiU"/>
                <w:lang w:eastAsia="zh-TW"/>
              </w:rPr>
              <w:t>delay budget satisfaction</w:t>
            </w:r>
            <w:r>
              <w:rPr>
                <w:rFonts w:hint="eastAsia" w:eastAsiaTheme="minorEastAsia"/>
                <w:lang w:eastAsia="zh-CN"/>
              </w:rPr>
              <w:t xml:space="preserve"> rate</w:t>
            </w:r>
            <w:r>
              <w:rPr>
                <w:rFonts w:eastAsia="PMingLiU"/>
                <w:lang w:eastAsia="zh-TW"/>
              </w:rPr>
              <w:t>,</w:t>
            </w:r>
            <w:r>
              <w:rPr>
                <w:rFonts w:hint="eastAsia" w:eastAsiaTheme="minorEastAsia"/>
                <w:lang w:eastAsia="zh-CN"/>
              </w:rPr>
              <w:t xml:space="preserve"> if applicable</w:t>
            </w:r>
          </w:p>
          <w:p w14:paraId="2994D603">
            <w:pPr>
              <w:widowControl w:val="0"/>
              <w:rPr>
                <w:rFonts w:eastAsia="等线"/>
                <w:bCs/>
                <w:color w:val="000000"/>
                <w:lang w:eastAsia="zh-CN"/>
              </w:rPr>
            </w:pPr>
            <w:r>
              <w:rPr>
                <w:rFonts w:hint="eastAsia" w:eastAsiaTheme="minorEastAsia"/>
                <w:lang w:eastAsia="zh-CN"/>
              </w:rPr>
              <w:t xml:space="preserve">are used </w:t>
            </w:r>
            <w:r>
              <w:rPr>
                <w:rFonts w:eastAsia="PMingLiU"/>
                <w:lang w:eastAsia="zh-TW"/>
              </w:rPr>
              <w:t xml:space="preserve">for 6G </w:t>
            </w:r>
            <w:r>
              <w:rPr>
                <w:rFonts w:hint="eastAsia" w:eastAsiaTheme="minorEastAsia"/>
                <w:lang w:eastAsia="zh-CN"/>
              </w:rPr>
              <w:t xml:space="preserve">energy efficiency </w:t>
            </w:r>
            <w:r>
              <w:rPr>
                <w:rFonts w:eastAsia="PMingLiU"/>
                <w:lang w:eastAsia="zh-TW"/>
              </w:rPr>
              <w:t>evaluation</w:t>
            </w:r>
            <w:r>
              <w:rPr>
                <w:rFonts w:hint="eastAsia" w:eastAsiaTheme="minorEastAsia"/>
                <w:lang w:eastAsia="zh-CN"/>
              </w:rPr>
              <w:t>.</w:t>
            </w:r>
            <w:r>
              <w:rPr>
                <w:rFonts w:hint="eastAsia" w:eastAsia="等线"/>
                <w:i/>
                <w:iCs/>
                <w:lang w:eastAsia="zh-CN"/>
              </w:rPr>
              <w:t xml:space="preserve"> </w:t>
            </w:r>
          </w:p>
        </w:tc>
      </w:tr>
      <w:bookmarkEnd w:id="2"/>
    </w:tbl>
    <w:p w14:paraId="1E2F2ABA">
      <w:pPr>
        <w:rPr>
          <w:lang w:eastAsia="zh-CN"/>
        </w:rPr>
      </w:pPr>
    </w:p>
    <w:p w14:paraId="654EBD87">
      <w:pPr>
        <w:rPr>
          <w:lang w:eastAsia="zh-CN"/>
        </w:rPr>
      </w:pPr>
      <w:r>
        <w:rPr>
          <w:lang w:eastAsia="zh-CN"/>
        </w:rPr>
        <w:t>Energy efficiency (EE) was identified as a key performance metric in both the initial 5G vision and the nascent 6G (IMT‑2030) framework. In the IMT‑2020 requirements, energy efficiency was formally defined on both network and device sides as the amount of information (bits) transmitted per unit of energy (Joule) consumed[11]. This bit-per-Joule metric set a baseline for quantifying improvements in network and terminal energy usage. Building on that, the 6G IMT‑2030 vision broadened “sustainability” objectives: it retained the bit/Joule parameter for network energy consumption while also emphasizing factors like equipment longevity, repair/reuse, and recycling as part of overall EE expectations[</w:t>
      </w:r>
      <w:r>
        <w:rPr>
          <w:rFonts w:hint="eastAsia"/>
          <w:lang w:eastAsia="zh-CN"/>
        </w:rPr>
        <w:t>1</w:t>
      </w:r>
      <w:r>
        <w:rPr>
          <w:lang w:eastAsia="zh-CN"/>
        </w:rPr>
        <w:t>2].</w:t>
      </w:r>
      <w:r>
        <w:rPr>
          <w:rFonts w:hint="eastAsia"/>
          <w:lang w:eastAsia="zh-CN"/>
        </w:rPr>
        <w:t xml:space="preserve"> Early 5G developments embedded energy efficiency as a design priority</w:t>
      </w:r>
      <w:r>
        <w:rPr>
          <w:lang w:eastAsia="zh-CN"/>
        </w:rPr>
        <w:t xml:space="preserve">, </w:t>
      </w:r>
      <w:r>
        <w:rPr>
          <w:rFonts w:hint="eastAsia"/>
          <w:lang w:eastAsia="zh-CN"/>
        </w:rPr>
        <w:t>aiming to maximize throughput per Watt and laid the groundwork for sustainability. This focus on EE was then amplified in IMT</w:t>
      </w:r>
      <w:r>
        <w:rPr>
          <w:lang w:eastAsia="zh-CN"/>
        </w:rPr>
        <w:t>-</w:t>
      </w:r>
      <w:r>
        <w:rPr>
          <w:rFonts w:hint="eastAsia"/>
          <w:lang w:eastAsia="zh-CN"/>
        </w:rPr>
        <w:t>2030 visioning, which explicitly made green network operation a core objective alongside traditional performance metrics, reflecting a shift toward more sustainable architectures in future mobile systems[1</w:t>
      </w:r>
      <w:r>
        <w:rPr>
          <w:lang w:eastAsia="zh-CN"/>
        </w:rPr>
        <w:t>2</w:t>
      </w:r>
      <w:r>
        <w:rPr>
          <w:rFonts w:hint="eastAsia"/>
          <w:lang w:eastAsia="zh-CN"/>
        </w:rPr>
        <w:t>].</w:t>
      </w:r>
    </w:p>
    <w:p w14:paraId="6C75F2DD">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eastAsia="zh-CN"/>
        </w:rPr>
        <w:t>3</w:t>
      </w:r>
      <w:r>
        <w:rPr>
          <w:rFonts w:ascii="Times New Roman Bold Italic" w:hAnsi="Times New Roman Bold Italic" w:cs="Times New Roman Bold Italic"/>
          <w:b/>
          <w:bCs/>
          <w:i/>
          <w:iCs/>
          <w:lang w:eastAsia="zh-CN"/>
        </w:rPr>
        <w:t>: The amount of information (bits) transmitted per unit of energy (Joule) as baseline parameter of energy efficiency has been defined in IMT-2020.</w:t>
      </w:r>
    </w:p>
    <w:p w14:paraId="5593F909">
      <w:pPr>
        <w:rPr>
          <w:lang w:eastAsia="zh-CN"/>
        </w:rPr>
      </w:pPr>
      <w:r>
        <w:rPr>
          <w:lang w:eastAsia="zh-CN"/>
        </w:rPr>
        <w:t>We adopt rational simulation assumptions aligned with IMT‑2030 sustainability goals and 3GPP guidelines (TR 38.840 &amp; TR 38.864). IMT‑2030 emphasizes “reduced environmental impact through energy‑efficient systems”, aiming for orders-of-magnitude improvements in network energy efficiency (e.g. 6G targeting ~100× higher bit/J than 5G)[13]. Accordingly, the 3GPP study on network energy savings (TR 38.864) defines a standardized base station power model and evaluation method, focusing on techniques like deep sleep and adaptive power scaling to minimize energy use at low traffic loads. Using these frameworks, we compare Config A (baseline 6G) and Config B (optimized 6G) in three key scenarios: energy efficiency vs load, daily power profile.</w:t>
      </w:r>
    </w:p>
    <w:p w14:paraId="46614BF4">
      <w:pPr>
        <w:jc w:val="center"/>
        <w:rPr>
          <w:lang w:eastAsia="zh-CN"/>
        </w:rPr>
      </w:pPr>
      <w:r>
        <w:drawing>
          <wp:inline distT="0" distB="0" distL="114300" distR="114300">
            <wp:extent cx="2619375" cy="1591310"/>
            <wp:effectExtent l="0" t="0" r="22225" b="8890"/>
            <wp:docPr id="26"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pic:cNvPicPr>
                      <a:picLocks noChangeAspect="1" noChangeArrowheads="1"/>
                    </pic:cNvPicPr>
                  </pic:nvPicPr>
                  <pic:blipFill>
                    <a:blip r:embed="rId8"/>
                    <a:srcRect t="8070"/>
                    <a:stretch>
                      <a:fillRect/>
                    </a:stretch>
                  </pic:blipFill>
                  <pic:spPr>
                    <a:xfrm>
                      <a:off x="0" y="0"/>
                      <a:ext cx="2619375" cy="1591310"/>
                    </a:xfrm>
                    <a:prstGeom prst="rect">
                      <a:avLst/>
                    </a:prstGeom>
                    <a:noFill/>
                    <a:ln w="9525">
                      <a:noFill/>
                    </a:ln>
                  </pic:spPr>
                </pic:pic>
              </a:graphicData>
            </a:graphic>
          </wp:inline>
        </w:drawing>
      </w:r>
    </w:p>
    <w:p w14:paraId="237D94EB">
      <w:pPr>
        <w:rPr>
          <w:lang w:eastAsia="zh-CN"/>
        </w:rPr>
      </w:pPr>
      <w:r>
        <w:rPr>
          <w:rFonts w:hint="eastAsia"/>
          <w:lang w:eastAsia="zh-CN"/>
        </w:rPr>
        <w:t>As</w:t>
      </w:r>
      <w:r>
        <w:rPr>
          <w:lang w:eastAsia="zh-CN"/>
        </w:rPr>
        <w:t xml:space="preserve"> shown in figure above, peak throughput energy efficiency (network bit/J) versus traffic load for baseline 6G (Config A) and optimized 6G (Config B). Config B consistently delivers higher bits per Joule across all load levels by reducing baseline power draw. Notably, at very low load the energy efficiency of Config A drops to nearly zero (since the base station still consumes power but carries almost no traffic). Config B’s architectural improvements (e.g. shutting down RF chains and other hardware in deep sleep) allow it to sustain far better efficiency at low loads. As load increases, both configurations improve in bit/J, reaching peak efficiency at 100% load; Config B maintains a ~10% higher peak efficiency due to more efficient components. This trend reflects 3GPP’s finding that modern RAN energy efficiency is high at full load, but degrades when traffic is light—an issue Config B addresses by scaling power with demand.</w:t>
      </w:r>
    </w:p>
    <w:p w14:paraId="0AC832C5">
      <w:pPr>
        <w:jc w:val="center"/>
        <w:rPr>
          <w:lang w:eastAsia="zh-CN"/>
        </w:rPr>
      </w:pPr>
      <w:r>
        <w:drawing>
          <wp:inline distT="0" distB="0" distL="114300" distR="114300">
            <wp:extent cx="2647950" cy="1431290"/>
            <wp:effectExtent l="0" t="0" r="19050" b="16510"/>
            <wp:docPr id="3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pic:cNvPicPr>
                      <a:picLocks noChangeAspect="1" noChangeArrowheads="1"/>
                    </pic:cNvPicPr>
                  </pic:nvPicPr>
                  <pic:blipFill>
                    <a:blip r:embed="rId9"/>
                    <a:srcRect t="9150"/>
                    <a:stretch>
                      <a:fillRect/>
                    </a:stretch>
                  </pic:blipFill>
                  <pic:spPr>
                    <a:xfrm>
                      <a:off x="0" y="0"/>
                      <a:ext cx="2647950" cy="1431290"/>
                    </a:xfrm>
                    <a:prstGeom prst="rect">
                      <a:avLst/>
                    </a:prstGeom>
                    <a:noFill/>
                    <a:ln w="9525">
                      <a:noFill/>
                    </a:ln>
                  </pic:spPr>
                </pic:pic>
              </a:graphicData>
            </a:graphic>
          </wp:inline>
        </w:drawing>
      </w:r>
    </w:p>
    <w:p w14:paraId="34820EC9">
      <w:pPr>
        <w:rPr>
          <w:lang w:eastAsia="zh-CN"/>
        </w:rPr>
      </w:pPr>
      <w:bookmarkStart w:id="3" w:name="OLE_LINK20"/>
      <w:r>
        <w:rPr>
          <w:rFonts w:hint="eastAsia"/>
          <w:lang w:eastAsia="zh-CN"/>
        </w:rPr>
        <w:t>As</w:t>
      </w:r>
      <w:r>
        <w:rPr>
          <w:lang w:eastAsia="zh-CN"/>
        </w:rPr>
        <w:t xml:space="preserve"> shown in figure above, power consumption over a 24‑hour traffic cycle (one base station). The daily load curve (typical busy-day pattern with busy mid-day/evening and idle overnight) is applied to Config A and Config B. Config A (baseline) shows a high constant power draw even during idle periods (overnight), e.g. staying near ~300 W at 3 AM when traffic is zero. This is because legacy base stations must keep transmitting reference signals and remain fully active to handle any incoming traffic. In contrast, Config B (optimized) uses enhanced sleep modes: during low-traffic hours it enters deep sleep, shutting off most transmitters to draw only ~50 W for minimal beaconing and control. When traffic increases (daytime peaks), Config B swiftly reactivates hardware modules to meet demand, but still consumes less than Config A at equivalent load (due to more efficient power scaling). For example, around the 12–6 PM high-load period, Config B’s power is several hundred watts lower than Config A’s for the same traffic, demonstrating improved power scaling. These results highlight how deep sleep and dynamic resource adaptation in Config B significantly cut energy use during idle or light load periods, aligning with 3GPP’s defined sleep states (micro/light/deep) for NR base stations.</w:t>
      </w:r>
    </w:p>
    <w:bookmarkEnd w:id="3"/>
    <w:p w14:paraId="184680CB">
      <w:pPr>
        <w:rPr>
          <w:lang w:eastAsia="zh-CN"/>
        </w:rPr>
      </w:pPr>
      <w:r>
        <w:rPr>
          <w:rFonts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eastAsia="zh-CN"/>
        </w:rPr>
        <w:t>4</w:t>
      </w:r>
      <w:r>
        <w:rPr>
          <w:rFonts w:ascii="Times New Roman Bold Italic" w:hAnsi="Times New Roman Bold Italic" w:cs="Times New Roman Bold Italic"/>
          <w:b/>
          <w:bCs/>
          <w:i/>
          <w:iCs/>
          <w:lang w:eastAsia="zh-CN"/>
        </w:rPr>
        <w:t>: Simulation results highlight how deep sleep and dynamic resource adaptation in Config B significantly cut energy use during idle or light load periods, aligning with 3GPP’s defined sleep states (micro/light/deep) for NR base stations.</w:t>
      </w:r>
    </w:p>
    <w:p w14:paraId="01C530AA">
      <w:pPr>
        <w:outlineLvl w:val="1"/>
        <w:rPr>
          <w:rFonts w:ascii="Times New Roman Bold" w:hAnsi="Times New Roman Bold" w:cs="Times New Roman Bold"/>
          <w:b/>
          <w:bCs/>
          <w:lang w:eastAsia="zh-CN"/>
        </w:rPr>
      </w:pPr>
      <w:r>
        <w:rPr>
          <w:rFonts w:ascii="Times New Roman Bold" w:hAnsi="Times New Roman Bold" w:cs="Times New Roman Bold"/>
          <w:b/>
          <w:bCs/>
          <w:lang w:eastAsia="zh-CN"/>
        </w:rPr>
        <w:t xml:space="preserve">3.1 Network or UE energy efficiency </w:t>
      </w:r>
      <w:r>
        <w:rPr>
          <w:rFonts w:hint="eastAsia" w:ascii="Times New Roman Bold" w:hAnsi="Times New Roman Bold" w:cs="Times New Roman Bold"/>
          <w:b/>
          <w:bCs/>
          <w:lang w:eastAsia="zh-CN"/>
        </w:rPr>
        <w:t>metrics</w:t>
      </w:r>
    </w:p>
    <w:p w14:paraId="2A34C8D1">
      <w:pPr>
        <w:rPr>
          <w:rFonts w:ascii="Times" w:hAnsi="Times" w:eastAsia="等线" w:cs="Arial"/>
          <w:szCs w:val="24"/>
          <w:lang w:eastAsia="zh-CN"/>
        </w:rPr>
      </w:pPr>
      <w:r>
        <w:rPr>
          <w:lang w:eastAsia="zh-CN"/>
        </w:rPr>
        <w:t>I</w:t>
      </w:r>
      <w:r>
        <w:rPr>
          <w:rFonts w:hint="eastAsia"/>
          <w:lang w:eastAsia="zh-CN"/>
        </w:rPr>
        <w:t>n</w:t>
      </w:r>
      <w:r>
        <w:rPr>
          <w:lang w:eastAsia="zh-CN"/>
        </w:rPr>
        <w:t xml:space="preserve"> </w:t>
      </w:r>
      <w:r>
        <w:rPr>
          <w:rFonts w:hint="eastAsia"/>
          <w:lang w:eastAsia="zh-CN"/>
        </w:rPr>
        <w:t>l</w:t>
      </w:r>
      <w:r>
        <w:rPr>
          <w:lang w:eastAsia="zh-CN"/>
        </w:rPr>
        <w:t>ast meeting, o</w:t>
      </w:r>
      <w:r>
        <w:rPr>
          <w:rFonts w:ascii="Times" w:hAnsi="Times" w:eastAsia="等线" w:cs="Arial"/>
          <w:szCs w:val="24"/>
          <w:lang w:eastAsia="zh-CN"/>
        </w:rPr>
        <w:t>n-demand sync signal(s) mechanisms were discussed and the following agreement was achieved.</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637DA242">
        <w:tc>
          <w:tcPr>
            <w:tcW w:w="9307" w:type="dxa"/>
          </w:tcPr>
          <w:p w14:paraId="41A28592">
            <w:pPr>
              <w:widowControl w:val="0"/>
              <w:rPr>
                <w:rFonts w:eastAsia="PMingLiU"/>
                <w:b/>
                <w:bCs/>
                <w:lang w:val="en-US" w:eastAsia="zh-TW"/>
              </w:rPr>
            </w:pPr>
            <w:r>
              <w:rPr>
                <w:rFonts w:eastAsia="PMingLiU"/>
                <w:b/>
                <w:bCs/>
                <w:highlight w:val="darkGray"/>
                <w:lang w:val="en-US" w:eastAsia="zh-TW"/>
              </w:rPr>
              <w:t>Proposal 3.1.2.1</w:t>
            </w:r>
            <w:r>
              <w:rPr>
                <w:rFonts w:eastAsia="PMingLiU"/>
                <w:b/>
                <w:bCs/>
                <w:lang w:val="en-US" w:eastAsia="zh-TW"/>
              </w:rPr>
              <w:t>: Reuse NR Rel-15 energy efficiency metrics (NES gain, UE power saving gain, UPT) as the starting point for 6G evaluation metrics</w:t>
            </w:r>
          </w:p>
          <w:p w14:paraId="12EB0C7B">
            <w:pPr>
              <w:pStyle w:val="51"/>
              <w:widowControl w:val="0"/>
              <w:numPr>
                <w:ilvl w:val="0"/>
                <w:numId w:val="10"/>
              </w:numPr>
              <w:rPr>
                <w:rFonts w:ascii="Times New Roman" w:hAnsi="Times New Roman" w:eastAsia="PMingLiU" w:cs="Times New Roman"/>
                <w:b/>
                <w:bCs/>
                <w:sz w:val="22"/>
                <w:szCs w:val="22"/>
                <w:lang w:val="en-US" w:eastAsia="zh-TW" w:bidi="ar-SA"/>
              </w:rPr>
            </w:pPr>
            <w:r>
              <w:rPr>
                <w:rFonts w:ascii="Times New Roman" w:hAnsi="Times New Roman" w:eastAsia="PMingLiU" w:cs="Times New Roman"/>
                <w:b/>
                <w:bCs/>
                <w:sz w:val="22"/>
                <w:szCs w:val="22"/>
                <w:lang w:val="en-US" w:eastAsia="zh-TW" w:bidi="ar-SA"/>
              </w:rPr>
              <w:t>FFS: Whether improvements to existing metrics are required for 6G-specific scenarios</w:t>
            </w:r>
          </w:p>
          <w:p w14:paraId="4E91BECC">
            <w:pPr>
              <w:widowControl w:val="0"/>
              <w:numPr>
                <w:ilvl w:val="0"/>
                <w:numId w:val="11"/>
              </w:numPr>
              <w:rPr>
                <w:rFonts w:ascii="Times" w:hAnsi="Times" w:eastAsia="Calibri" w:cs="Arial"/>
                <w:szCs w:val="24"/>
              </w:rPr>
            </w:pPr>
            <w:r>
              <w:rPr>
                <w:rFonts w:ascii="Times New Roman" w:hAnsi="Times New Roman" w:eastAsia="PMingLiU" w:cs="Times New Roman"/>
                <w:b/>
                <w:bCs/>
                <w:sz w:val="22"/>
                <w:szCs w:val="22"/>
                <w:lang w:val="en-US" w:eastAsia="zh-TW" w:bidi="ar-SA"/>
              </w:rPr>
              <w:t>FFS: Additional complementary metrics for 6G use cases (e.g., XR, AI/ML applications)</w:t>
            </w:r>
          </w:p>
        </w:tc>
      </w:tr>
    </w:tbl>
    <w:p w14:paraId="2CBDBD2F">
      <w:pPr>
        <w:rPr>
          <w:lang w:eastAsia="zh-CN"/>
        </w:rPr>
      </w:pPr>
    </w:p>
    <w:p w14:paraId="24D27CA4">
      <w:pPr>
        <w:rPr>
          <w:lang w:eastAsia="zh-CN"/>
        </w:rPr>
      </w:pPr>
      <w:r>
        <w:rPr>
          <w:lang w:eastAsia="zh-CN"/>
        </w:rPr>
        <w:t xml:space="preserve">To benchmark 6G energy efficiency in 6G day 1, one must first define clear parameters for network or UE performance. A fundamental measure is the throughput per unit energy (e.g. </w:t>
      </w:r>
      <w:r>
        <w:rPr>
          <w:rFonts w:hint="eastAsia"/>
          <w:lang w:eastAsia="zh-CN"/>
        </w:rPr>
        <w:t>bit</w:t>
      </w:r>
      <w:r>
        <w:rPr>
          <w:lang w:eastAsia="zh-CN"/>
        </w:rPr>
        <w:t>/J, sometimes expressed as “bps/W”). This captures how efficiently a terminal or base station can carry data for a given energy input. However, single metrics like bit/J need to be complemented with other aspects for a holistic view. Based on LTE/NR study, few potential parameters may be considered for 6G design:</w:t>
      </w:r>
    </w:p>
    <w:p w14:paraId="1090C508">
      <w:pPr>
        <w:numPr>
          <w:ilvl w:val="0"/>
          <w:numId w:val="12"/>
        </w:numPr>
        <w:rPr>
          <w:lang w:eastAsia="zh-CN"/>
        </w:rPr>
      </w:pPr>
      <w:r>
        <w:rPr>
          <w:rFonts w:ascii="Times New Roman Bold" w:hAnsi="Times New Roman Bold" w:cs="Times New Roman Bold"/>
          <w:b/>
          <w:bCs/>
          <w:lang w:eastAsia="zh-CN"/>
        </w:rPr>
        <w:t>Active Data Energy Efficiency (bit/J):</w:t>
      </w:r>
      <w:r>
        <w:rPr>
          <w:lang w:eastAsia="zh-CN"/>
        </w:rPr>
        <w:t xml:space="preserve"> The number of bits successfully transmitted per Joule during active operation, measured under defined load conditions (e.g. peak throughput). This quantifies how much useful data a network or UE can deliver for each unit of energy.</w:t>
      </w:r>
    </w:p>
    <w:p w14:paraId="297C9579">
      <w:pPr>
        <w:numPr>
          <w:ilvl w:val="0"/>
          <w:numId w:val="12"/>
        </w:numPr>
        <w:rPr>
          <w:lang w:eastAsia="zh-CN"/>
        </w:rPr>
      </w:pPr>
      <w:r>
        <w:rPr>
          <w:rFonts w:ascii="Times New Roman Bold" w:hAnsi="Times New Roman Bold" w:cs="Times New Roman Bold"/>
          <w:b/>
          <w:bCs/>
          <w:lang w:eastAsia="zh-CN"/>
        </w:rPr>
        <w:t>Idle Power Consumption:</w:t>
      </w:r>
      <w:r>
        <w:rPr>
          <w:lang w:eastAsia="zh-CN"/>
        </w:rPr>
        <w:t xml:space="preserve"> The baseline power draw when the device or cell is in an idle or no-traffic state. This “standby” consumption indicates energy overhead when no user data is being exchanged – a critical factor for long-term battery life and network energy waste.</w:t>
      </w:r>
    </w:p>
    <w:p w14:paraId="5707C681">
      <w:pPr>
        <w:numPr>
          <w:ilvl w:val="0"/>
          <w:numId w:val="12"/>
        </w:numPr>
        <w:rPr>
          <w:lang w:eastAsia="zh-CN"/>
        </w:rPr>
      </w:pPr>
      <w:r>
        <w:rPr>
          <w:rFonts w:ascii="Times New Roman Bold" w:hAnsi="Times New Roman Bold" w:cs="Times New Roman Bold"/>
          <w:b/>
          <w:bCs/>
          <w:lang w:eastAsia="zh-CN"/>
        </w:rPr>
        <w:t>Wake-up/Transition Efficiency:</w:t>
      </w:r>
      <w:r>
        <w:rPr>
          <w:lang w:eastAsia="zh-CN"/>
        </w:rPr>
        <w:t xml:space="preserve"> The energy and time cost to go from an idle or sleep state to an active state delivering data. This reflects the efficiency of mechanisms like wake-up radios and fast dormancy; an ideal terminal has ultra-low standby drain and can resume full service with minimal energy overhead. A 6G device might be rated on how effectively it leverages a WUR to listen for network triggers while letting the main transceiver sleep, thereby keeping “always-on” energy to a minimum.</w:t>
      </w:r>
    </w:p>
    <w:p w14:paraId="46D44D36">
      <w:pPr>
        <w:numPr>
          <w:ilvl w:val="0"/>
          <w:numId w:val="12"/>
        </w:numPr>
        <w:rPr>
          <w:rFonts w:ascii="Times New Roman Bold" w:hAnsi="Times New Roman Bold" w:cs="Times New Roman Bold"/>
          <w:b/>
          <w:bCs/>
          <w:lang w:eastAsia="zh-CN"/>
        </w:rPr>
      </w:pPr>
      <w:r>
        <w:rPr>
          <w:rFonts w:ascii="Times New Roman Bold" w:hAnsi="Times New Roman Bold" w:cs="Times New Roman Bold"/>
          <w:b/>
          <w:bCs/>
          <w:lang w:eastAsia="zh-CN"/>
        </w:rPr>
        <w:t>User-Perceived Latency:</w:t>
      </w:r>
      <w:r>
        <w:rPr>
          <w:rFonts w:hint="eastAsia" w:ascii="Times New Roman Bold" w:hAnsi="Times New Roman Bold" w:cs="Times New Roman Bold"/>
          <w:b/>
          <w:bCs/>
          <w:lang w:eastAsia="zh-CN"/>
        </w:rPr>
        <w:t xml:space="preserve"> </w:t>
      </w:r>
      <w:r>
        <w:rPr>
          <w:lang w:eastAsia="zh-CN"/>
        </w:rPr>
        <w:t>In virtual reality, user-perceived latency is the delay between a user's movement and the system's visual response—critical for comfort and immersion. In autonomous driving, it is the time from sensing an event to the vehicle's reaction, directly affecting safety. Both scenarios require ultra-low and stable latency, as even small delays can degrade user experience in VR or compromise safety in autonomous driving. This metric reflects the true responsiveness of the entire system, including both network and processing delays.</w:t>
      </w:r>
    </w:p>
    <w:p w14:paraId="0C0BF32C">
      <w:pPr>
        <w:numPr>
          <w:ilvl w:val="0"/>
          <w:numId w:val="12"/>
        </w:numPr>
        <w:rPr>
          <w:lang w:eastAsia="zh-CN"/>
        </w:rPr>
      </w:pPr>
      <w:r>
        <w:rPr>
          <w:b/>
          <w:bCs/>
          <w:lang w:eastAsia="zh-CN"/>
        </w:rPr>
        <w:t>User-Perceived Throughput</w:t>
      </w:r>
      <w:r>
        <w:rPr>
          <w:rFonts w:hint="eastAsia"/>
          <w:b/>
          <w:bCs/>
          <w:lang w:eastAsia="zh-CN"/>
        </w:rPr>
        <w:t xml:space="preserve"> (</w:t>
      </w:r>
      <w:r>
        <w:rPr>
          <w:b/>
          <w:bCs/>
          <w:lang w:eastAsia="zh-CN"/>
        </w:rPr>
        <w:t>NR Rel-15 energy efficiency metrics</w:t>
      </w:r>
      <w:r>
        <w:rPr>
          <w:rFonts w:hint="eastAsia"/>
          <w:b/>
          <w:bCs/>
          <w:lang w:eastAsia="zh-CN"/>
        </w:rPr>
        <w:t xml:space="preserve">): </w:t>
      </w:r>
      <w:r>
        <w:rPr>
          <w:lang w:eastAsia="zh-CN"/>
        </w:rPr>
        <w:t>The effective data rate as experienced by an end user, measured as the number of useful bits successfully delivered to the application layer per second under realistic usage scenarios. UPT reflects not only the peak or average physical-layer transmission rate but also incorporates factors such as protocol overhead, retransmissions, network congestion, and latency. This metric quantifies the actual application-level throughput that users experience during typical network activities (e.g., web browsing, video streaming, file downloads), offering a practical measure of quality of experience.</w:t>
      </w:r>
    </w:p>
    <w:p w14:paraId="2787D395">
      <w:pPr>
        <w:numPr>
          <w:ilvl w:val="0"/>
          <w:numId w:val="12"/>
        </w:numPr>
        <w:rPr>
          <w:lang w:eastAsia="zh-CN"/>
        </w:rPr>
      </w:pPr>
      <w:r>
        <w:rPr>
          <w:rFonts w:hint="eastAsia"/>
          <w:b/>
          <w:bCs/>
          <w:lang w:eastAsia="zh-CN"/>
        </w:rPr>
        <w:t>U</w:t>
      </w:r>
      <w:r>
        <w:rPr>
          <w:b/>
          <w:bCs/>
          <w:lang w:eastAsia="zh-CN"/>
        </w:rPr>
        <w:t xml:space="preserve">ser </w:t>
      </w:r>
      <w:r>
        <w:rPr>
          <w:rFonts w:hint="eastAsia"/>
          <w:b/>
          <w:bCs/>
          <w:lang w:eastAsia="zh-CN"/>
        </w:rPr>
        <w:t>E</w:t>
      </w:r>
      <w:r>
        <w:rPr>
          <w:b/>
          <w:bCs/>
          <w:lang w:eastAsia="zh-CN"/>
        </w:rPr>
        <w:t xml:space="preserve">quipment </w:t>
      </w:r>
      <w:r>
        <w:rPr>
          <w:rFonts w:hint="eastAsia"/>
          <w:b/>
          <w:bCs/>
          <w:lang w:eastAsia="zh-CN"/>
        </w:rPr>
        <w:t>P</w:t>
      </w:r>
      <w:r>
        <w:rPr>
          <w:b/>
          <w:bCs/>
          <w:lang w:eastAsia="zh-CN"/>
        </w:rPr>
        <w:t xml:space="preserve">ower </w:t>
      </w:r>
      <w:r>
        <w:rPr>
          <w:rFonts w:hint="eastAsia"/>
          <w:b/>
          <w:bCs/>
          <w:lang w:eastAsia="zh-CN"/>
        </w:rPr>
        <w:t>S</w:t>
      </w:r>
      <w:r>
        <w:rPr>
          <w:b/>
          <w:bCs/>
          <w:lang w:eastAsia="zh-CN"/>
        </w:rPr>
        <w:t xml:space="preserve">aving </w:t>
      </w:r>
      <w:r>
        <w:rPr>
          <w:rFonts w:hint="eastAsia"/>
          <w:b/>
          <w:bCs/>
          <w:lang w:eastAsia="zh-CN"/>
        </w:rPr>
        <w:t>G</w:t>
      </w:r>
      <w:r>
        <w:rPr>
          <w:b/>
          <w:bCs/>
          <w:lang w:eastAsia="zh-CN"/>
        </w:rPr>
        <w:t>ain</w:t>
      </w:r>
      <w:r>
        <w:rPr>
          <w:rFonts w:hint="eastAsia"/>
          <w:b/>
          <w:bCs/>
          <w:lang w:eastAsia="zh-CN"/>
        </w:rPr>
        <w:t xml:space="preserve"> (</w:t>
      </w:r>
      <w:r>
        <w:rPr>
          <w:b/>
          <w:bCs/>
          <w:lang w:eastAsia="zh-CN"/>
        </w:rPr>
        <w:t>NR Rel-15 energy efficiency metrics</w:t>
      </w:r>
      <w:r>
        <w:rPr>
          <w:rFonts w:hint="eastAsia"/>
          <w:b/>
          <w:bCs/>
          <w:lang w:eastAsia="zh-CN"/>
        </w:rPr>
        <w:t>):</w:t>
      </w:r>
      <w:r>
        <w:t xml:space="preserve"> </w:t>
      </w:r>
      <w:r>
        <w:rPr>
          <w:lang w:eastAsia="zh-CN"/>
        </w:rPr>
        <w:t>The reduction in total energy consumption achieved by a user UE through the use of advanced power-saving mechanisms, measured relative to a baseline or legacy operation. This metric quantifies how effectively a UE can minimize its energy use across different operational states, reflecting the cumulative benefit of techniques such as DRX, wake-up radios, adaptive transmission scheduling, and deep sleep modes.</w:t>
      </w:r>
    </w:p>
    <w:p w14:paraId="651FF45B">
      <w:pPr>
        <w:numPr>
          <w:ilvl w:val="0"/>
          <w:numId w:val="12"/>
        </w:numPr>
        <w:rPr>
          <w:rFonts w:hint="eastAsia"/>
          <w:lang w:eastAsia="zh-CN"/>
        </w:rPr>
      </w:pPr>
      <w:bookmarkStart w:id="4" w:name="OLE_LINK12"/>
      <w:bookmarkStart w:id="5" w:name="OLE_LINK11"/>
      <w:r>
        <w:rPr>
          <w:b/>
          <w:bCs/>
          <w:lang w:eastAsia="zh-CN"/>
        </w:rPr>
        <w:t>Computing Efficiency</w:t>
      </w:r>
      <w:bookmarkEnd w:id="4"/>
      <w:r>
        <w:rPr>
          <w:b/>
          <w:bCs/>
          <w:lang w:eastAsia="zh-CN"/>
        </w:rPr>
        <w:t xml:space="preserve"> (J/TOPS):</w:t>
      </w:r>
      <w:r>
        <w:rPr>
          <w:lang w:eastAsia="zh-CN"/>
        </w:rPr>
        <w:t>The amount of energy consumed by a compute-enabled base station to perform one trillion (10¹²) operations, typically measured in Joules per TOPS (J/TOPS), when processing tasks offloaded from user terminals. This metric quantifies how efficiently the base station delivers AI inference, data analytics, or other computation-intensive services requested by connected devices.</w:t>
      </w:r>
      <w:bookmarkEnd w:id="5"/>
    </w:p>
    <w:p w14:paraId="00F839E7">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eastAsia="zh-CN"/>
        </w:rPr>
        <w:t>5</w:t>
      </w:r>
      <w:r>
        <w:rPr>
          <w:rFonts w:ascii="Times New Roman Bold Italic" w:hAnsi="Times New Roman Bold Italic" w:cs="Times New Roman Bold Italic"/>
          <w:b/>
          <w:bCs/>
          <w:i/>
          <w:iCs/>
          <w:lang w:eastAsia="zh-CN"/>
        </w:rPr>
        <w:t xml:space="preserve">: Single metric like bit/J need to be complemented with other aspects, </w:t>
      </w:r>
      <w:r>
        <w:rPr>
          <w:rFonts w:hint="default" w:ascii="Times New Roman Bold Italic" w:hAnsi="Times New Roman Bold Italic" w:cs="Times New Roman Bold Italic"/>
          <w:b/>
          <w:bCs/>
          <w:i/>
          <w:iCs/>
          <w:lang w:val="en-US" w:eastAsia="zh-CN"/>
        </w:rPr>
        <w:t xml:space="preserve">and </w:t>
      </w:r>
      <w:r>
        <w:rPr>
          <w:rFonts w:ascii="Times New Roman Bold Italic" w:hAnsi="Times New Roman Bold Italic" w:cs="Times New Roman Bold Italic"/>
          <w:b/>
          <w:bCs/>
          <w:i/>
          <w:iCs/>
          <w:lang w:eastAsia="zh-CN"/>
        </w:rPr>
        <w:t>other potential parameters may be considered for 6G study like active data energy efficiency, idle power consumption, or wake-up/transition efficiency, U</w:t>
      </w:r>
      <w:r>
        <w:rPr>
          <w:rFonts w:hint="default" w:ascii="Times New Roman Bold Italic" w:hAnsi="Times New Roman Bold Italic" w:cs="Times New Roman Bold Italic"/>
          <w:b/>
          <w:bCs/>
          <w:i/>
          <w:iCs/>
          <w:lang w:val="en-US" w:eastAsia="zh-CN"/>
        </w:rPr>
        <w:t>PT</w:t>
      </w:r>
      <w:r>
        <w:rPr>
          <w:rFonts w:hint="eastAsia" w:ascii="Times New Roman Bold Italic" w:hAnsi="Times New Roman Bold Italic" w:cs="Times New Roman Bold Italic"/>
          <w:b/>
          <w:bCs/>
          <w:i/>
          <w:iCs/>
          <w:lang w:eastAsia="zh-CN"/>
        </w:rPr>
        <w:t>, U</w:t>
      </w:r>
      <w:r>
        <w:rPr>
          <w:rFonts w:ascii="Times New Roman Bold Italic" w:hAnsi="Times New Roman Bold Italic" w:cs="Times New Roman Bold Italic"/>
          <w:b/>
          <w:bCs/>
          <w:i/>
          <w:iCs/>
          <w:lang w:eastAsia="zh-CN"/>
        </w:rPr>
        <w:t xml:space="preserve">ser </w:t>
      </w:r>
      <w:r>
        <w:rPr>
          <w:rFonts w:hint="eastAsia" w:ascii="Times New Roman Bold Italic" w:hAnsi="Times New Roman Bold Italic" w:cs="Times New Roman Bold Italic"/>
          <w:b/>
          <w:bCs/>
          <w:i/>
          <w:iCs/>
          <w:lang w:eastAsia="zh-CN"/>
        </w:rPr>
        <w:t>E</w:t>
      </w:r>
      <w:r>
        <w:rPr>
          <w:rFonts w:ascii="Times New Roman Bold Italic" w:hAnsi="Times New Roman Bold Italic" w:cs="Times New Roman Bold Italic"/>
          <w:b/>
          <w:bCs/>
          <w:i/>
          <w:iCs/>
          <w:lang w:eastAsia="zh-CN"/>
        </w:rPr>
        <w:t xml:space="preserve">quipment </w:t>
      </w:r>
      <w:r>
        <w:rPr>
          <w:rFonts w:hint="eastAsia" w:ascii="Times New Roman Bold Italic" w:hAnsi="Times New Roman Bold Italic" w:cs="Times New Roman Bold Italic"/>
          <w:b/>
          <w:bCs/>
          <w:i/>
          <w:iCs/>
          <w:lang w:eastAsia="zh-CN"/>
        </w:rPr>
        <w:t>P</w:t>
      </w:r>
      <w:r>
        <w:rPr>
          <w:rFonts w:ascii="Times New Roman Bold Italic" w:hAnsi="Times New Roman Bold Italic" w:cs="Times New Roman Bold Italic"/>
          <w:b/>
          <w:bCs/>
          <w:i/>
          <w:iCs/>
          <w:lang w:eastAsia="zh-CN"/>
        </w:rPr>
        <w:t xml:space="preserve">ower </w:t>
      </w:r>
      <w:r>
        <w:rPr>
          <w:rFonts w:hint="eastAsia" w:ascii="Times New Roman Bold Italic" w:hAnsi="Times New Roman Bold Italic" w:cs="Times New Roman Bold Italic"/>
          <w:b/>
          <w:bCs/>
          <w:i/>
          <w:iCs/>
          <w:lang w:eastAsia="zh-CN"/>
        </w:rPr>
        <w:t>S</w:t>
      </w:r>
      <w:r>
        <w:rPr>
          <w:rFonts w:ascii="Times New Roman Bold Italic" w:hAnsi="Times New Roman Bold Italic" w:cs="Times New Roman Bold Italic"/>
          <w:b/>
          <w:bCs/>
          <w:i/>
          <w:iCs/>
          <w:lang w:eastAsia="zh-CN"/>
        </w:rPr>
        <w:t xml:space="preserve">aving </w:t>
      </w:r>
      <w:r>
        <w:rPr>
          <w:rFonts w:hint="eastAsia" w:ascii="Times New Roman Bold Italic" w:hAnsi="Times New Roman Bold Italic" w:cs="Times New Roman Bold Italic"/>
          <w:b/>
          <w:bCs/>
          <w:i/>
          <w:iCs/>
          <w:lang w:eastAsia="zh-CN"/>
        </w:rPr>
        <w:t>G</w:t>
      </w:r>
      <w:r>
        <w:rPr>
          <w:rFonts w:ascii="Times New Roman Bold Italic" w:hAnsi="Times New Roman Bold Italic" w:cs="Times New Roman Bold Italic"/>
          <w:b/>
          <w:bCs/>
          <w:i/>
          <w:iCs/>
          <w:lang w:eastAsia="zh-CN"/>
        </w:rPr>
        <w:t>ain</w:t>
      </w:r>
      <w:r>
        <w:rPr>
          <w:rFonts w:hint="eastAsia" w:ascii="Times New Roman Bold Italic" w:hAnsi="Times New Roman Bold Italic" w:cs="Times New Roman Bold Italic"/>
          <w:b/>
          <w:bCs/>
          <w:i/>
          <w:iCs/>
          <w:lang w:eastAsia="zh-CN"/>
        </w:rPr>
        <w:t>,</w:t>
      </w:r>
      <w:r>
        <w:rPr>
          <w:rFonts w:ascii="Times New Roman Bold Italic" w:hAnsi="Times New Roman Bold Italic" w:cs="Times New Roman Bold Italic"/>
          <w:b/>
          <w:bCs/>
          <w:i/>
          <w:iCs/>
          <w:lang w:eastAsia="zh-CN"/>
        </w:rPr>
        <w:t xml:space="preserve"> Computing Efficiency</w:t>
      </w:r>
      <w:r>
        <w:rPr>
          <w:rFonts w:hint="eastAsia" w:ascii="Times New Roman Bold Italic" w:hAnsi="Times New Roman Bold Italic" w:cs="Times New Roman Bold Italic"/>
          <w:b/>
          <w:bCs/>
          <w:i/>
          <w:iCs/>
          <w:lang w:eastAsia="zh-CN"/>
        </w:rPr>
        <w:t xml:space="preserve"> and Latency</w:t>
      </w:r>
      <w:r>
        <w:rPr>
          <w:rFonts w:ascii="Times New Roman Bold Italic" w:hAnsi="Times New Roman Bold Italic" w:cs="Times New Roman Bold Italic"/>
          <w:b/>
          <w:bCs/>
          <w:i/>
          <w:iCs/>
          <w:lang w:eastAsia="zh-CN"/>
        </w:rPr>
        <w:t xml:space="preserve"> etc.</w:t>
      </w:r>
    </w:p>
    <w:p w14:paraId="311BE6DE">
      <w:pPr>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Proposal 2:</w:t>
      </w:r>
      <w:r>
        <w:rPr>
          <w:rFonts w:hint="default" w:ascii="Times New Roman Bold Italic" w:hAnsi="Times New Roman Bold Italic" w:eastAsia="宋体" w:cs="Times New Roman Bold Italic"/>
          <w:b/>
          <w:bCs/>
          <w:i/>
          <w:iCs/>
          <w:lang w:val="en-US" w:eastAsia="zh-CN"/>
        </w:rPr>
        <w:t xml:space="preserve"> </w:t>
      </w:r>
      <w:r>
        <w:rPr>
          <w:rFonts w:ascii="Times New Roman Bold Italic" w:hAnsi="Times New Roman Bold Italic" w:eastAsia="宋体" w:cs="Times New Roman Bold Italic"/>
          <w:b/>
          <w:bCs/>
          <w:i/>
          <w:iCs/>
          <w:lang w:val="en-US" w:eastAsia="zh-TW"/>
        </w:rPr>
        <w:t>Additional complementary metrics for 6G use cases</w:t>
      </w:r>
      <w:r>
        <w:rPr>
          <w:rFonts w:hint="default" w:ascii="Times New Roman Bold Italic" w:hAnsi="Times New Roman Bold Italic" w:eastAsia="宋体" w:cs="Times New Roman Bold Italic"/>
          <w:b/>
          <w:bCs/>
          <w:i/>
          <w:iCs/>
          <w:lang w:val="en-US" w:eastAsia="zh-TW"/>
        </w:rPr>
        <w:t xml:space="preserve"> could be considered, e.g., computing efficiency, </w:t>
      </w:r>
      <w:r>
        <w:rPr>
          <w:rFonts w:hint="default" w:ascii="Times New Roman Bold Italic" w:hAnsi="Times New Roman Bold Italic" w:cs="Times New Roman Bold Italic"/>
          <w:b/>
          <w:bCs/>
          <w:i/>
          <w:iCs/>
          <w:lang w:val="en-US" w:eastAsia="zh-CN"/>
        </w:rPr>
        <w:t>w</w:t>
      </w:r>
      <w:r>
        <w:rPr>
          <w:rFonts w:hint="default" w:ascii="Times New Roman Bold Italic" w:hAnsi="Times New Roman Bold Italic" w:cs="Times New Roman Bold Italic"/>
          <w:b/>
          <w:bCs/>
          <w:i/>
          <w:iCs/>
          <w:lang w:eastAsia="zh-CN"/>
        </w:rPr>
        <w:t>ake-up/</w:t>
      </w:r>
      <w:r>
        <w:rPr>
          <w:rFonts w:hint="default" w:ascii="Times New Roman Bold Italic" w:hAnsi="Times New Roman Bold Italic" w:cs="Times New Roman Bold Italic"/>
          <w:b/>
          <w:bCs/>
          <w:i/>
          <w:iCs/>
          <w:lang w:val="en-US" w:eastAsia="zh-CN"/>
        </w:rPr>
        <w:t>t</w:t>
      </w:r>
      <w:r>
        <w:rPr>
          <w:rFonts w:hint="default" w:ascii="Times New Roman Bold Italic" w:hAnsi="Times New Roman Bold Italic" w:cs="Times New Roman Bold Italic"/>
          <w:b/>
          <w:bCs/>
          <w:i/>
          <w:iCs/>
          <w:lang w:eastAsia="zh-CN"/>
        </w:rPr>
        <w:t xml:space="preserve">ransition </w:t>
      </w:r>
      <w:r>
        <w:rPr>
          <w:rFonts w:hint="default" w:ascii="Times New Roman Bold Italic" w:hAnsi="Times New Roman Bold Italic" w:cs="Times New Roman Bold Italic"/>
          <w:b/>
          <w:bCs/>
          <w:i/>
          <w:iCs/>
          <w:lang w:val="en-US" w:eastAsia="zh-CN"/>
        </w:rPr>
        <w:t>e</w:t>
      </w:r>
      <w:r>
        <w:rPr>
          <w:rFonts w:hint="default" w:ascii="Times New Roman Bold Italic" w:hAnsi="Times New Roman Bold Italic" w:cs="Times New Roman Bold Italic"/>
          <w:b/>
          <w:bCs/>
          <w:i/>
          <w:iCs/>
          <w:lang w:eastAsia="zh-CN"/>
        </w:rPr>
        <w:t>fficiency</w:t>
      </w:r>
      <w:r>
        <w:rPr>
          <w:rFonts w:hint="default" w:ascii="Times New Roman Bold Italic" w:hAnsi="Times New Roman Bold Italic" w:cs="Times New Roman Bold Italic"/>
          <w:b/>
          <w:bCs/>
          <w:i/>
          <w:iCs/>
          <w:lang w:val="en-US" w:eastAsia="zh-CN"/>
        </w:rPr>
        <w:t>, etc.</w:t>
      </w:r>
    </w:p>
    <w:p w14:paraId="1877C444">
      <w:pPr>
        <w:rPr>
          <w:rFonts w:ascii="Times New Roman Bold Italic" w:hAnsi="Times New Roman Bold Italic" w:cs="Times New Roman Bold Italic"/>
          <w:b/>
          <w:bCs/>
          <w:i/>
          <w:iCs/>
          <w:lang w:eastAsia="zh-CN"/>
        </w:rPr>
      </w:pPr>
    </w:p>
    <w:p w14:paraId="46D5FF93">
      <w:pPr>
        <w:outlineLvl w:val="1"/>
        <w:rPr>
          <w:rFonts w:ascii="Times New Roman Bold" w:hAnsi="Times New Roman Bold" w:cs="Times New Roman Bold"/>
          <w:b/>
          <w:bCs/>
          <w:lang w:eastAsia="zh-CN"/>
        </w:rPr>
      </w:pPr>
      <w:r>
        <w:rPr>
          <w:rFonts w:ascii="Times New Roman Bold" w:hAnsi="Times New Roman Bold" w:cs="Times New Roman Bold"/>
          <w:b/>
          <w:bCs/>
          <w:lang w:eastAsia="zh-CN"/>
        </w:rPr>
        <w:t>3.2 End to end energy efficiency parameters</w:t>
      </w:r>
    </w:p>
    <w:p w14:paraId="6A3BE915">
      <w:pPr>
        <w:rPr>
          <w:rFonts w:ascii="Times" w:hAnsi="Times" w:eastAsia="等线" w:cs="Arial"/>
          <w:szCs w:val="24"/>
          <w:lang w:eastAsia="zh-CN"/>
        </w:rPr>
      </w:pPr>
      <w:r>
        <w:rPr>
          <w:lang w:eastAsia="zh-CN"/>
        </w:rPr>
        <w:t>I</w:t>
      </w:r>
      <w:r>
        <w:rPr>
          <w:rFonts w:hint="eastAsia"/>
          <w:lang w:eastAsia="zh-CN"/>
        </w:rPr>
        <w:t>n</w:t>
      </w:r>
      <w:r>
        <w:rPr>
          <w:lang w:eastAsia="zh-CN"/>
        </w:rPr>
        <w:t xml:space="preserve"> </w:t>
      </w:r>
      <w:r>
        <w:rPr>
          <w:rFonts w:hint="eastAsia"/>
          <w:lang w:eastAsia="zh-CN"/>
        </w:rPr>
        <w:t>l</w:t>
      </w:r>
      <w:r>
        <w:rPr>
          <w:lang w:eastAsia="zh-CN"/>
        </w:rPr>
        <w:t xml:space="preserve">ast meeting, </w:t>
      </w:r>
      <w:r>
        <w:rPr>
          <w:rFonts w:hint="eastAsia"/>
          <w:lang w:val="en-US" w:eastAsia="zh-CN"/>
        </w:rPr>
        <w:t xml:space="preserve">several </w:t>
      </w:r>
      <w:r>
        <w:rPr>
          <w:rFonts w:eastAsia="PMingLiU"/>
          <w:b w:val="0"/>
          <w:bCs w:val="0"/>
          <w:lang w:val="en-US" w:eastAsia="zh-TW"/>
        </w:rPr>
        <w:t>load-dependent evaluation methodolog</w:t>
      </w:r>
      <w:r>
        <w:rPr>
          <w:rFonts w:hint="eastAsia" w:eastAsia="PMingLiU"/>
          <w:b w:val="0"/>
          <w:bCs w:val="0"/>
          <w:lang w:val="en-US" w:eastAsia="zh-CN"/>
        </w:rPr>
        <w:t>ies</w:t>
      </w:r>
      <w:r>
        <w:rPr>
          <w:rFonts w:ascii="Times" w:hAnsi="Times" w:eastAsia="等线" w:cs="Arial"/>
          <w:szCs w:val="24"/>
          <w:lang w:eastAsia="zh-CN"/>
        </w:rPr>
        <w:t xml:space="preserve"> were discussed and the following </w:t>
      </w:r>
      <w:r>
        <w:rPr>
          <w:rFonts w:hint="eastAsia" w:ascii="Times" w:hAnsi="Times" w:eastAsia="等线" w:cs="Arial"/>
          <w:szCs w:val="24"/>
          <w:lang w:val="en-US" w:eastAsia="zh-CN"/>
        </w:rPr>
        <w:t>proposal</w:t>
      </w:r>
      <w:r>
        <w:rPr>
          <w:rFonts w:ascii="Times" w:hAnsi="Times" w:eastAsia="等线" w:cs="Arial"/>
          <w:szCs w:val="24"/>
          <w:lang w:eastAsia="zh-CN"/>
        </w:rPr>
        <w:t xml:space="preserve"> was </w:t>
      </w:r>
      <w:r>
        <w:rPr>
          <w:rFonts w:hint="eastAsia" w:ascii="Times" w:hAnsi="Times" w:eastAsia="等线" w:cs="Arial"/>
          <w:szCs w:val="24"/>
          <w:lang w:val="en-US" w:eastAsia="zh-CN"/>
        </w:rPr>
        <w:t>given</w:t>
      </w:r>
      <w:r>
        <w:rPr>
          <w:rFonts w:ascii="Times" w:hAnsi="Times" w:eastAsia="等线" w:cs="Arial"/>
          <w:szCs w:val="24"/>
          <w:lang w:eastAsia="zh-CN"/>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7D5602B4">
        <w:tc>
          <w:tcPr>
            <w:tcW w:w="9307" w:type="dxa"/>
          </w:tcPr>
          <w:p w14:paraId="681416FC">
            <w:pPr>
              <w:widowControl w:val="0"/>
              <w:rPr>
                <w:rFonts w:eastAsia="PMingLiU"/>
                <w:b/>
                <w:bCs/>
                <w:lang w:val="en-US" w:eastAsia="zh-TW"/>
              </w:rPr>
            </w:pPr>
            <w:r>
              <w:rPr>
                <w:rFonts w:eastAsia="PMingLiU"/>
                <w:b/>
                <w:bCs/>
                <w:lang w:val="en-US" w:eastAsia="zh-TW"/>
              </w:rPr>
              <w:t>Proposal 3.1.2.5a:</w:t>
            </w:r>
          </w:p>
          <w:p w14:paraId="65C2C006">
            <w:pPr>
              <w:widowControl w:val="0"/>
              <w:rPr>
                <w:rFonts w:eastAsia="PMingLiU"/>
                <w:b/>
                <w:bCs/>
                <w:lang w:val="en-US" w:eastAsia="zh-TW"/>
              </w:rPr>
            </w:pPr>
            <w:r>
              <w:rPr>
                <w:rFonts w:eastAsia="PMingLiU"/>
                <w:b/>
                <w:bCs/>
                <w:lang w:val="en-US" w:eastAsia="zh-TW"/>
              </w:rPr>
              <w:t>For joint NW-UE energy efficiency evaluation, report both NW and UE energy saving gains and performance impacts, as well as qualitative analysis in the following aspects:</w:t>
            </w:r>
          </w:p>
          <w:p w14:paraId="7B4D9765">
            <w:pPr>
              <w:widowControl w:val="0"/>
              <w:numPr>
                <w:ilvl w:val="0"/>
                <w:numId w:val="13"/>
              </w:numPr>
              <w:rPr>
                <w:rFonts w:eastAsia="PMingLiU"/>
                <w:b/>
                <w:bCs/>
                <w:lang w:val="en-US" w:eastAsia="zh-TW"/>
              </w:rPr>
            </w:pPr>
            <w:r>
              <w:rPr>
                <w:rFonts w:eastAsia="PMingLiU"/>
                <w:b/>
                <w:bCs/>
                <w:lang w:val="en-US" w:eastAsia="zh-TW"/>
              </w:rPr>
              <w:t>Trade-offs between NW and UE energy saving</w:t>
            </w:r>
          </w:p>
          <w:p w14:paraId="6AB5E923">
            <w:pPr>
              <w:widowControl w:val="0"/>
              <w:numPr>
                <w:ilvl w:val="0"/>
                <w:numId w:val="13"/>
              </w:numPr>
              <w:rPr>
                <w:rFonts w:eastAsia="PMingLiU"/>
                <w:b/>
                <w:bCs/>
                <w:lang w:val="en-US" w:eastAsia="zh-TW"/>
              </w:rPr>
            </w:pPr>
            <w:r>
              <w:rPr>
                <w:rFonts w:eastAsia="PMingLiU"/>
                <w:b/>
                <w:bCs/>
                <w:lang w:val="en-US" w:eastAsia="zh-TW"/>
              </w:rPr>
              <w:t>Joint benefits and synergies</w:t>
            </w:r>
          </w:p>
          <w:p w14:paraId="5FBDCFD6">
            <w:pPr>
              <w:widowControl w:val="0"/>
              <w:numPr>
                <w:ilvl w:val="0"/>
                <w:numId w:val="13"/>
              </w:numPr>
              <w:rPr>
                <w:rFonts w:eastAsia="PMingLiU"/>
                <w:b/>
                <w:bCs/>
                <w:lang w:val="en-US" w:eastAsia="zh-TW"/>
              </w:rPr>
            </w:pPr>
            <w:r>
              <w:rPr>
                <w:rFonts w:eastAsia="PMingLiU"/>
                <w:b/>
                <w:bCs/>
                <w:lang w:val="en-US" w:eastAsia="zh-TW"/>
              </w:rPr>
              <w:t>Conflicting requirements and mitigation</w:t>
            </w:r>
          </w:p>
          <w:p w14:paraId="6F468708">
            <w:pPr>
              <w:widowControl w:val="0"/>
              <w:rPr>
                <w:rFonts w:ascii="Times" w:hAnsi="Times" w:eastAsia="Calibri" w:cs="Arial"/>
                <w:szCs w:val="24"/>
              </w:rPr>
            </w:pPr>
            <w:r>
              <w:rPr>
                <w:rFonts w:eastAsia="PMingLiU"/>
                <w:b/>
                <w:bCs/>
                <w:lang w:val="en-US" w:eastAsia="zh-TW"/>
              </w:rPr>
              <w:t>FFS: Whether to define normalized joint metric for specific comparison purposes</w:t>
            </w:r>
          </w:p>
        </w:tc>
      </w:tr>
    </w:tbl>
    <w:p w14:paraId="58AA412C">
      <w:pPr>
        <w:rPr>
          <w:lang w:eastAsia="zh-CN"/>
        </w:rPr>
      </w:pPr>
      <w:r>
        <w:rPr>
          <w:rFonts w:hint="eastAsia"/>
          <w:lang w:val="en-US" w:eastAsia="zh-CN"/>
        </w:rPr>
        <w:t>From our</w:t>
      </w:r>
      <w:r>
        <w:rPr>
          <w:rFonts w:hint="default"/>
          <w:lang w:val="en-US" w:eastAsia="zh-CN"/>
        </w:rPr>
        <w:t xml:space="preserve"> perspective, a</w:t>
      </w:r>
      <w:r>
        <w:rPr>
          <w:lang w:eastAsia="zh-CN"/>
        </w:rPr>
        <w:t xml:space="preserve"> crucial design question is whether to define energy efficiency parameters separately for terminals and infrastructure, or to adopt an integrated end-to-end metric.</w:t>
      </w:r>
      <w:r>
        <w:rPr>
          <w:rFonts w:hint="eastAsia"/>
          <w:lang w:eastAsia="zh-CN"/>
        </w:rPr>
        <w:t xml:space="preserve"> </w:t>
      </w:r>
      <w:r>
        <w:rPr>
          <w:lang w:eastAsia="zh-CN"/>
        </w:rPr>
        <w:t xml:space="preserve">Defining separate parameters for UEs and network nodes has the advantage of tailoring benchmarks to each side’s characteristics. A handset’s parameter drives chip and OS optimizations, e.g., reducing RF chain power, screen-off radio policies, while a network parameter drives RAN hardware improvements, e.g. more efficient antenna designs, cooling and power supply, and operational strategies like turning off unused carriers. However, 6G might also consider the end-to-end energy efficiency of the communication system. Ultimately, the energy consumed to send a bit from a content server to a user’s device (including network + </w:t>
      </w:r>
      <w:r>
        <w:rPr>
          <w:rFonts w:hint="eastAsia"/>
          <w:lang w:eastAsia="zh-CN"/>
        </w:rPr>
        <w:t>UE</w:t>
      </w:r>
      <w:r>
        <w:rPr>
          <w:lang w:eastAsia="zh-CN"/>
        </w:rPr>
        <w:t>) is what matters for sustainability.</w:t>
      </w:r>
    </w:p>
    <w:p w14:paraId="4562FCF2">
      <w:pPr>
        <w:rPr>
          <w:lang w:eastAsia="zh-CN"/>
        </w:rPr>
      </w:pPr>
      <w:r>
        <w:rPr>
          <w:lang w:eastAsia="zh-CN"/>
        </w:rPr>
        <w:t>In practice, end-to-end metrics are harder to allocate and implement since operators and users manage different portions of the power budget, and business models are separate. A likely approach is a hybrid: maintain separate terminal and network EE ratings, but provide a mechanism or combined score to reflect cases where both sides collaborate effectively.</w:t>
      </w:r>
    </w:p>
    <w:p w14:paraId="6FC29E19">
      <w:pPr>
        <w:rPr>
          <w:lang w:eastAsia="zh-CN"/>
        </w:rPr>
      </w:pPr>
      <w:bookmarkStart w:id="6" w:name="OLE_LINK14"/>
      <w:r>
        <w:rPr>
          <w:rFonts w:hint="eastAsia"/>
          <w:lang w:val="en-US" w:eastAsia="zh-CN"/>
        </w:rPr>
        <w:t xml:space="preserve">Based </w:t>
      </w:r>
      <w:r>
        <w:rPr>
          <w:rFonts w:hint="default"/>
          <w:lang w:val="en-US" w:eastAsia="zh-CN"/>
        </w:rPr>
        <w:t>on the proposal in last meeting , a</w:t>
      </w:r>
      <w:r>
        <w:rPr>
          <w:lang w:eastAsia="zh-CN"/>
        </w:rPr>
        <w:t xml:space="preserve"> joint energy efficiency evaluation system based on the geometric mean can be expressed as:</w:t>
      </w:r>
    </w:p>
    <w:p w14:paraId="3A6BD0C1">
      <w:pPr>
        <w:rPr>
          <w:lang w:eastAsia="zh-CN"/>
        </w:rPr>
      </w:pPr>
      <m:oMathPara>
        <m:oMath>
          <m:r>
            <m:rPr/>
            <w:rPr>
              <w:rFonts w:ascii="Cambria Math" w:hAnsi="Cambria Math"/>
              <w:lang w:eastAsia="zh-CN"/>
            </w:rPr>
            <m:t>E</m:t>
          </m:r>
          <m:sSub>
            <m:sSubPr>
              <m:ctrlPr>
                <w:rPr>
                  <w:rFonts w:ascii="Cambria Math" w:hAnsi="Cambria Math"/>
                  <w:lang w:eastAsia="zh-CN"/>
                </w:rPr>
              </m:ctrlPr>
            </m:sSubPr>
            <m:e>
              <m:r>
                <m:rPr/>
                <w:rPr>
                  <w:rFonts w:ascii="Cambria Math" w:hAnsi="Cambria Math"/>
                  <w:lang w:eastAsia="zh-CN"/>
                </w:rPr>
                <m:t>E</m:t>
              </m:r>
              <m:ctrlPr>
                <w:rPr>
                  <w:rFonts w:ascii="Cambria Math" w:hAnsi="Cambria Math"/>
                  <w:lang w:eastAsia="zh-CN"/>
                </w:rPr>
              </m:ctrlPr>
            </m:e>
            <m:sub>
              <m:r>
                <m:rPr>
                  <m:nor/>
                  <m:sty m:val="p"/>
                </m:rPr>
                <w:rPr>
                  <w:b w:val="0"/>
                  <w:i w:val="0"/>
                  <w:lang w:eastAsia="zh-CN"/>
                </w:rPr>
                <m:t>Joint</m:t>
              </m:r>
              <m:ctrlPr>
                <w:rPr>
                  <w:rFonts w:ascii="Cambria Math" w:hAnsi="Cambria Math"/>
                  <w:lang w:eastAsia="zh-CN"/>
                </w:rPr>
              </m:ctrlPr>
            </m:sub>
          </m:sSub>
          <m:r>
            <m:rPr/>
            <w:rPr>
              <w:rFonts w:ascii="Cambria Math" w:hAnsi="Cambria Math"/>
              <w:lang w:eastAsia="zh-CN"/>
            </w:rPr>
            <m:t>=</m:t>
          </m:r>
          <m:sSup>
            <m:sSupPr>
              <m:ctrlPr>
                <w:rPr>
                  <w:rFonts w:ascii="Cambria Math" w:hAnsi="Cambria Math"/>
                  <w:lang w:eastAsia="zh-CN"/>
                </w:rPr>
              </m:ctrlPr>
            </m:sSupPr>
            <m:e>
              <m:r>
                <m:rPr/>
                <w:rPr>
                  <w:rFonts w:ascii="Cambria Math" w:hAnsi="Cambria Math"/>
                  <w:lang w:eastAsia="zh-CN"/>
                </w:rPr>
                <m:t>(E</m:t>
              </m:r>
              <m:sSubSup>
                <m:sSubSupPr>
                  <m:ctrlPr>
                    <w:rPr>
                      <w:rFonts w:ascii="Cambria Math" w:hAnsi="Cambria Math"/>
                      <w:lang w:eastAsia="zh-CN"/>
                    </w:rPr>
                  </m:ctrlPr>
                </m:sSubSupPr>
                <m:e>
                  <m:r>
                    <m:rPr/>
                    <w:rPr>
                      <w:rFonts w:ascii="Cambria Math" w:hAnsi="Cambria Math"/>
                      <w:lang w:eastAsia="zh-CN"/>
                    </w:rPr>
                    <m:t>E</m:t>
                  </m:r>
                  <m:ctrlPr>
                    <w:rPr>
                      <w:rFonts w:ascii="Cambria Math" w:hAnsi="Cambria Math"/>
                      <w:lang w:eastAsia="zh-CN"/>
                    </w:rPr>
                  </m:ctrlPr>
                </m:e>
                <m:sub>
                  <m:r>
                    <m:rPr>
                      <m:nor/>
                      <m:sty m:val="p"/>
                    </m:rPr>
                    <w:rPr>
                      <w:b w:val="0"/>
                      <w:i w:val="0"/>
                      <w:lang w:eastAsia="zh-CN"/>
                    </w:rPr>
                    <m:t>NW</m:t>
                  </m:r>
                  <m:ctrlPr>
                    <w:rPr>
                      <w:rFonts w:ascii="Cambria Math" w:hAnsi="Cambria Math"/>
                      <w:lang w:eastAsia="zh-CN"/>
                    </w:rPr>
                  </m:ctrlPr>
                </m:sub>
                <m:sup>
                  <m:r>
                    <m:rPr/>
                    <w:rPr>
                      <w:rFonts w:ascii="Cambria Math" w:hAnsi="Cambria Math"/>
                      <w:lang w:eastAsia="zh-CN"/>
                    </w:rPr>
                    <m:t>α</m:t>
                  </m:r>
                  <m:ctrlPr>
                    <w:rPr>
                      <w:rFonts w:ascii="Cambria Math" w:hAnsi="Cambria Math"/>
                      <w:lang w:eastAsia="zh-CN"/>
                    </w:rPr>
                  </m:ctrlPr>
                </m:sup>
              </m:sSubSup>
              <m:r>
                <m:rPr/>
                <w:rPr>
                  <w:rFonts w:ascii="Cambria Math" w:hAnsi="Cambria Math"/>
                  <w:lang w:eastAsia="zh-CN"/>
                </w:rPr>
                <m:t>⋅E</m:t>
              </m:r>
              <m:sSubSup>
                <m:sSubSupPr>
                  <m:ctrlPr>
                    <w:rPr>
                      <w:rFonts w:ascii="Cambria Math" w:hAnsi="Cambria Math"/>
                      <w:lang w:eastAsia="zh-CN"/>
                    </w:rPr>
                  </m:ctrlPr>
                </m:sSubSupPr>
                <m:e>
                  <m:r>
                    <m:rPr/>
                    <w:rPr>
                      <w:rFonts w:ascii="Cambria Math" w:hAnsi="Cambria Math"/>
                      <w:lang w:eastAsia="zh-CN"/>
                    </w:rPr>
                    <m:t>E</m:t>
                  </m:r>
                  <m:ctrlPr>
                    <w:rPr>
                      <w:rFonts w:ascii="Cambria Math" w:hAnsi="Cambria Math"/>
                      <w:lang w:eastAsia="zh-CN"/>
                    </w:rPr>
                  </m:ctrlPr>
                </m:e>
                <m:sub>
                  <m:r>
                    <m:rPr>
                      <m:nor/>
                      <m:sty m:val="p"/>
                    </m:rPr>
                    <w:rPr>
                      <w:b w:val="0"/>
                      <w:i w:val="0"/>
                      <w:lang w:eastAsia="zh-CN"/>
                    </w:rPr>
                    <m:t>UE</m:t>
                  </m:r>
                  <m:ctrlPr>
                    <w:rPr>
                      <w:rFonts w:ascii="Cambria Math" w:hAnsi="Cambria Math"/>
                      <w:lang w:eastAsia="zh-CN"/>
                    </w:rPr>
                  </m:ctrlPr>
                </m:sub>
                <m:sup>
                  <m:r>
                    <m:rPr/>
                    <w:rPr>
                      <w:rFonts w:ascii="Cambria Math" w:hAnsi="Cambria Math"/>
                      <w:lang w:eastAsia="zh-CN"/>
                    </w:rPr>
                    <m:t>β</m:t>
                  </m:r>
                  <m:ctrlPr>
                    <w:rPr>
                      <w:rFonts w:ascii="Cambria Math" w:hAnsi="Cambria Math"/>
                      <w:lang w:eastAsia="zh-CN"/>
                    </w:rPr>
                  </m:ctrlPr>
                </m:sup>
              </m:sSubSup>
              <m:r>
                <m:rPr/>
                <w:rPr>
                  <w:rFonts w:ascii="Cambria Math" w:hAnsi="Cambria Math"/>
                  <w:lang w:eastAsia="zh-CN"/>
                </w:rPr>
                <m:t>)</m:t>
              </m:r>
              <m:ctrlPr>
                <w:rPr>
                  <w:rFonts w:ascii="Cambria Math" w:hAnsi="Cambria Math"/>
                  <w:lang w:eastAsia="zh-CN"/>
                </w:rPr>
              </m:ctrlPr>
            </m:e>
            <m:sup>
              <m:f>
                <m:fPr>
                  <m:ctrlPr>
                    <w:rPr>
                      <w:rFonts w:ascii="Cambria Math" w:hAnsi="Cambria Math"/>
                      <w:lang w:eastAsia="zh-CN"/>
                    </w:rPr>
                  </m:ctrlPr>
                </m:fPr>
                <m:num>
                  <m:r>
                    <m:rPr/>
                    <w:rPr>
                      <w:rFonts w:ascii="Cambria Math" w:hAnsi="Cambria Math"/>
                      <w:lang w:eastAsia="zh-CN"/>
                    </w:rPr>
                    <m:t>1</m:t>
                  </m:r>
                  <m:ctrlPr>
                    <w:rPr>
                      <w:rFonts w:ascii="Cambria Math" w:hAnsi="Cambria Math"/>
                      <w:lang w:eastAsia="zh-CN"/>
                    </w:rPr>
                  </m:ctrlPr>
                </m:num>
                <m:den>
                  <m:r>
                    <m:rPr/>
                    <w:rPr>
                      <w:rFonts w:ascii="Cambria Math" w:hAnsi="Cambria Math"/>
                      <w:lang w:eastAsia="zh-CN"/>
                    </w:rPr>
                    <m:t>α+β</m:t>
                  </m:r>
                  <m:ctrlPr>
                    <w:rPr>
                      <w:rFonts w:ascii="Cambria Math" w:hAnsi="Cambria Math"/>
                      <w:lang w:eastAsia="zh-CN"/>
                    </w:rPr>
                  </m:ctrlPr>
                </m:den>
              </m:f>
              <m:ctrlPr>
                <w:rPr>
                  <w:rFonts w:ascii="Cambria Math" w:hAnsi="Cambria Math"/>
                  <w:lang w:eastAsia="zh-CN"/>
                </w:rPr>
              </m:ctrlPr>
            </m:sup>
          </m:sSup>
          <m:r>
            <w:rPr>
              <w:lang w:eastAsia="zh-CN"/>
            </w:rPr>
            <w:br w:type="textWrapping"/>
          </m:r>
        </m:oMath>
      </m:oMathPara>
      <w:r>
        <w:rPr>
          <w:lang w:eastAsia="zh-CN"/>
        </w:rPr>
        <w:t>where</w:t>
      </w:r>
      <w:bookmarkStart w:id="7" w:name="OLE_LINK13"/>
      <w:r>
        <w:rPr>
          <w:lang w:eastAsia="zh-CN"/>
        </w:rPr>
        <w:t xml:space="preserve"> </w:t>
      </w:r>
      <m:oMath>
        <m:r>
          <m:rPr/>
          <w:rPr>
            <w:rFonts w:ascii="Cambria Math" w:hAnsi="Cambria Math"/>
            <w:lang w:eastAsia="zh-CN"/>
          </w:rPr>
          <m:t>α+β=2</m:t>
        </m:r>
      </m:oMath>
      <w:r>
        <w:rPr>
          <w:lang w:eastAsia="zh-CN"/>
        </w:rPr>
        <w:t>.</w:t>
      </w:r>
      <w:bookmarkEnd w:id="7"/>
    </w:p>
    <w:p w14:paraId="553448FD">
      <w:pPr>
        <w:rPr>
          <w:lang w:eastAsia="zh-CN"/>
        </w:rPr>
      </w:pPr>
      <w:r>
        <w:rPr>
          <w:lang w:eastAsia="zh-CN"/>
        </w:rPr>
        <w:t>This formulation simultaneously emphasizes improvements at both the base station (</w:t>
      </w:r>
      <m:oMath>
        <m:r>
          <m:rPr/>
          <w:rPr>
            <w:rFonts w:ascii="Cambria Math" w:hAnsi="Cambria Math"/>
            <w:lang w:eastAsia="zh-CN"/>
          </w:rPr>
          <m:t>E</m:t>
        </m:r>
        <m:sSub>
          <m:sSubPr>
            <m:ctrlPr>
              <w:rPr>
                <w:rFonts w:ascii="Cambria Math" w:hAnsi="Cambria Math"/>
                <w:lang w:eastAsia="zh-CN"/>
              </w:rPr>
            </m:ctrlPr>
          </m:sSubPr>
          <m:e>
            <m:r>
              <m:rPr/>
              <w:rPr>
                <w:rFonts w:ascii="Cambria Math" w:hAnsi="Cambria Math"/>
                <w:lang w:eastAsia="zh-CN"/>
              </w:rPr>
              <m:t>E</m:t>
            </m:r>
            <m:ctrlPr>
              <w:rPr>
                <w:rFonts w:ascii="Cambria Math" w:hAnsi="Cambria Math"/>
                <w:lang w:eastAsia="zh-CN"/>
              </w:rPr>
            </m:ctrlPr>
          </m:e>
          <m:sub>
            <m:r>
              <m:rPr>
                <m:nor/>
                <m:sty m:val="p"/>
              </m:rPr>
              <w:rPr>
                <w:b w:val="0"/>
                <w:i w:val="0"/>
                <w:lang w:eastAsia="zh-CN"/>
              </w:rPr>
              <m:t>NW</m:t>
            </m:r>
            <m:ctrlPr>
              <w:rPr>
                <w:rFonts w:ascii="Cambria Math" w:hAnsi="Cambria Math"/>
                <w:lang w:eastAsia="zh-CN"/>
              </w:rPr>
            </m:ctrlPr>
          </m:sub>
        </m:sSub>
      </m:oMath>
      <w:r>
        <w:rPr>
          <w:lang w:eastAsia="zh-CN"/>
        </w:rPr>
        <w:t>) and terminal (</w:t>
      </w:r>
      <m:oMath>
        <m:r>
          <m:rPr/>
          <w:rPr>
            <w:rFonts w:ascii="Cambria Math" w:hAnsi="Cambria Math"/>
            <w:lang w:eastAsia="zh-CN"/>
          </w:rPr>
          <m:t>E</m:t>
        </m:r>
        <m:sSub>
          <m:sSubPr>
            <m:ctrlPr>
              <w:rPr>
                <w:rFonts w:ascii="Cambria Math" w:hAnsi="Cambria Math"/>
                <w:lang w:eastAsia="zh-CN"/>
              </w:rPr>
            </m:ctrlPr>
          </m:sSubPr>
          <m:e>
            <m:r>
              <m:rPr/>
              <w:rPr>
                <w:rFonts w:ascii="Cambria Math" w:hAnsi="Cambria Math"/>
                <w:lang w:eastAsia="zh-CN"/>
              </w:rPr>
              <m:t>E</m:t>
            </m:r>
            <m:ctrlPr>
              <w:rPr>
                <w:rFonts w:ascii="Cambria Math" w:hAnsi="Cambria Math"/>
                <w:lang w:eastAsia="zh-CN"/>
              </w:rPr>
            </m:ctrlPr>
          </m:e>
          <m:sub>
            <m:r>
              <m:rPr>
                <m:nor/>
                <m:sty m:val="p"/>
              </m:rPr>
              <w:rPr>
                <w:b w:val="0"/>
                <w:i w:val="0"/>
                <w:lang w:eastAsia="zh-CN"/>
              </w:rPr>
              <m:t>UE</m:t>
            </m:r>
            <m:ctrlPr>
              <w:rPr>
                <w:rFonts w:ascii="Cambria Math" w:hAnsi="Cambria Math"/>
                <w:lang w:eastAsia="zh-CN"/>
              </w:rPr>
            </m:ctrlPr>
          </m:sub>
        </m:sSub>
      </m:oMath>
      <w:r>
        <w:rPr>
          <w:lang w:eastAsia="zh-CN"/>
        </w:rPr>
        <w:t>) sides, effectively avoiding the masking effect where extreme optimization on one end dominates the overall assessment. The geometric mean is highly sensitive to bottlenecks, ensures proportional fairness, and provides robust aggregation, making it a scientific and practical tool for unified energy efficiency evaluation and coordinated optimization of base stations and user equipment in future intelligent networks.</w:t>
      </w:r>
    </w:p>
    <w:bookmarkEnd w:id="6"/>
    <w:p w14:paraId="44909F0F">
      <w:pPr>
        <w:rPr>
          <w:rFonts w:hint="eastAsia"/>
          <w:lang w:eastAsia="zh-CN"/>
        </w:rPr>
      </w:pPr>
    </w:p>
    <w:p w14:paraId="001A2504">
      <w:pPr>
        <w:rPr>
          <w:rFonts w:ascii="Times New Roman Bold Italic" w:hAnsi="Times New Roman Bold Italic" w:cs="Times New Roman Bold Italic"/>
          <w:b/>
          <w:bCs/>
          <w:i/>
          <w:iCs/>
          <w:lang w:eastAsia="zh-CN"/>
        </w:rPr>
      </w:pPr>
      <w:bookmarkStart w:id="8" w:name="OLE_LINK15"/>
      <w:r>
        <w:rPr>
          <w:rFonts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eastAsia="zh-CN"/>
        </w:rPr>
        <w:t>6</w:t>
      </w:r>
      <w:r>
        <w:rPr>
          <w:rFonts w:ascii="Times New Roman Bold Italic" w:hAnsi="Times New Roman Bold Italic" w:cs="Times New Roman Bold Italic"/>
          <w:b/>
          <w:bCs/>
          <w:i/>
          <w:iCs/>
          <w:lang w:eastAsia="zh-CN"/>
        </w:rPr>
        <w:t>: 6G might also consider the end-to-end energy efficiency of the communication system. However, end-to-end metrics are harder to allocate and implement since operators and users manage different portions of the power budget, and business models are separate.</w:t>
      </w:r>
    </w:p>
    <w:p w14:paraId="1DACFB0D">
      <w:pPr>
        <w:rPr>
          <w:rFonts w:hint="eastAsia" w:ascii="Times New Roman Bold Italic" w:hAnsi="Times New Roman Bold Italic" w:cs="Times New Roman Bold Italic"/>
          <w:b/>
          <w:bCs/>
          <w:i/>
          <w:iCs/>
          <w:lang w:eastAsia="zh-CN"/>
        </w:rPr>
      </w:pPr>
    </w:p>
    <w:p w14:paraId="0ABD2966">
      <w:pPr>
        <w:rPr>
          <w:rFonts w:hint="default" w:ascii="Times New Roman Bold Italic" w:hAnsi="Times New Roman Bold Italic" w:cs="Times New Roman Bold Italic"/>
          <w:b/>
          <w:bCs/>
          <w:i/>
          <w:iCs/>
          <w:lang w:val="en-US" w:eastAsia="zh-CN"/>
        </w:rPr>
      </w:pPr>
      <w:r>
        <w:rPr>
          <w:rFonts w:ascii="Times New Roman Bold Italic" w:hAnsi="Times New Roman Bold Italic" w:cs="Times New Roman Bold Italic"/>
          <w:b/>
          <w:bCs/>
          <w:i/>
          <w:iCs/>
          <w:lang w:eastAsia="zh-CN"/>
        </w:rPr>
        <w:t xml:space="preserve">Proposal </w:t>
      </w:r>
      <w:r>
        <w:rPr>
          <w:rFonts w:hint="default" w:ascii="Times New Roman Bold Italic" w:hAnsi="Times New Roman Bold Italic" w:cs="Times New Roman Bold Italic"/>
          <w:b/>
          <w:bCs/>
          <w:i/>
          <w:iCs/>
          <w:lang w:val="en-US" w:eastAsia="zh-CN"/>
        </w:rPr>
        <w:t>3</w:t>
      </w:r>
      <w:r>
        <w:rPr>
          <w:rFonts w:ascii="Times New Roman Bold Italic" w:hAnsi="Times New Roman Bold Italic" w:cs="Times New Roman Bold Italic"/>
          <w:b/>
          <w:bCs/>
          <w:i/>
          <w:iCs/>
          <w:lang w:eastAsia="zh-CN"/>
        </w:rPr>
        <w:t xml:space="preserve">: </w:t>
      </w:r>
      <w:r>
        <w:rPr>
          <w:rFonts w:hint="default" w:ascii="Times New Roman Bold Italic" w:hAnsi="Times New Roman Bold Italic" w:cs="Times New Roman Bold Italic"/>
          <w:b/>
          <w:bCs/>
          <w:i/>
          <w:iCs/>
          <w:lang w:val="en-US" w:eastAsia="zh-CN"/>
        </w:rPr>
        <w:t xml:space="preserve">Support following method </w:t>
      </w:r>
      <w:r>
        <w:rPr>
          <w:rFonts w:hint="default" w:ascii="Times New Roman Bold Italic" w:hAnsi="Times New Roman Bold Italic" w:eastAsia="PMingLiU" w:cs="Times New Roman Bold Italic"/>
          <w:b/>
          <w:bCs/>
          <w:i/>
          <w:iCs/>
          <w:lang w:val="en-US" w:eastAsia="zh-TW"/>
        </w:rPr>
        <w:t>for joint NW-UE energy efficiency evaluation:</w:t>
      </w:r>
    </w:p>
    <w:p w14:paraId="6758D5D1">
      <w:pPr>
        <w:numPr>
          <w:ilvl w:val="0"/>
          <w:numId w:val="14"/>
        </w:numPr>
        <w:rPr>
          <w:rFonts w:eastAsia="PMingLiU"/>
          <w:b/>
          <w:bCs/>
          <w:lang w:val="en-US" w:eastAsia="zh-TW"/>
        </w:rPr>
      </w:pPr>
      <w:r>
        <w:rPr>
          <w:rFonts w:eastAsia="PMingLiU"/>
          <w:b/>
          <w:bCs/>
          <w:lang w:val="en-US" w:eastAsia="zh-TW"/>
        </w:rPr>
        <w:t xml:space="preserve">Option 2 (Geometric mean): </w:t>
      </w:r>
      <m:oMath>
        <m:r>
          <m:rPr/>
          <w:rPr>
            <w:rFonts w:ascii="Cambria Math" w:hAnsi="Cambria Math"/>
            <w:lang w:eastAsia="zh-CN"/>
          </w:rPr>
          <m:t>E</m:t>
        </m:r>
        <m:sSub>
          <m:sSubPr>
            <m:ctrlPr>
              <w:rPr>
                <w:rFonts w:ascii="Cambria Math" w:hAnsi="Cambria Math"/>
                <w:lang w:eastAsia="zh-CN"/>
              </w:rPr>
            </m:ctrlPr>
          </m:sSubPr>
          <m:e>
            <m:r>
              <m:rPr/>
              <w:rPr>
                <w:rFonts w:ascii="Cambria Math" w:hAnsi="Cambria Math"/>
                <w:lang w:eastAsia="zh-CN"/>
              </w:rPr>
              <m:t>E</m:t>
            </m:r>
            <m:ctrlPr>
              <w:rPr>
                <w:rFonts w:ascii="Cambria Math" w:hAnsi="Cambria Math"/>
                <w:lang w:eastAsia="zh-CN"/>
              </w:rPr>
            </m:ctrlPr>
          </m:e>
          <m:sub>
            <m:r>
              <m:rPr>
                <m:nor/>
                <m:sty m:val="p"/>
              </m:rPr>
              <w:rPr>
                <w:b w:val="0"/>
                <w:i w:val="0"/>
                <w:lang w:eastAsia="zh-CN"/>
              </w:rPr>
              <m:t>Joint</m:t>
            </m:r>
            <m:ctrlPr>
              <w:rPr>
                <w:rFonts w:ascii="Cambria Math" w:hAnsi="Cambria Math"/>
                <w:lang w:eastAsia="zh-CN"/>
              </w:rPr>
            </m:ctrlPr>
          </m:sub>
        </m:sSub>
        <m:r>
          <m:rPr/>
          <w:rPr>
            <w:rFonts w:ascii="Cambria Math" w:hAnsi="Cambria Math"/>
            <w:lang w:eastAsia="zh-CN"/>
          </w:rPr>
          <m:t>=</m:t>
        </m:r>
        <m:sSup>
          <m:sSupPr>
            <m:ctrlPr>
              <w:rPr>
                <w:rFonts w:ascii="Cambria Math" w:hAnsi="Cambria Math"/>
                <w:lang w:eastAsia="zh-CN"/>
              </w:rPr>
            </m:ctrlPr>
          </m:sSupPr>
          <m:e>
            <m:r>
              <m:rPr/>
              <w:rPr>
                <w:rFonts w:ascii="Cambria Math" w:hAnsi="Cambria Math"/>
                <w:lang w:eastAsia="zh-CN"/>
              </w:rPr>
              <m:t>(E</m:t>
            </m:r>
            <m:sSubSup>
              <m:sSubSupPr>
                <m:ctrlPr>
                  <w:rPr>
                    <w:rFonts w:ascii="Cambria Math" w:hAnsi="Cambria Math"/>
                    <w:lang w:eastAsia="zh-CN"/>
                  </w:rPr>
                </m:ctrlPr>
              </m:sSubSupPr>
              <m:e>
                <m:r>
                  <m:rPr/>
                  <w:rPr>
                    <w:rFonts w:ascii="Cambria Math" w:hAnsi="Cambria Math"/>
                    <w:lang w:eastAsia="zh-CN"/>
                  </w:rPr>
                  <m:t>E</m:t>
                </m:r>
                <m:ctrlPr>
                  <w:rPr>
                    <w:rFonts w:ascii="Cambria Math" w:hAnsi="Cambria Math"/>
                    <w:lang w:eastAsia="zh-CN"/>
                  </w:rPr>
                </m:ctrlPr>
              </m:e>
              <m:sub>
                <m:r>
                  <m:rPr>
                    <m:nor/>
                    <m:sty m:val="p"/>
                  </m:rPr>
                  <w:rPr>
                    <w:b w:val="0"/>
                    <w:i w:val="0"/>
                    <w:lang w:eastAsia="zh-CN"/>
                  </w:rPr>
                  <m:t>NW</m:t>
                </m:r>
                <m:ctrlPr>
                  <w:rPr>
                    <w:rFonts w:ascii="Cambria Math" w:hAnsi="Cambria Math"/>
                    <w:lang w:eastAsia="zh-CN"/>
                  </w:rPr>
                </m:ctrlPr>
              </m:sub>
              <m:sup>
                <m:r>
                  <m:rPr/>
                  <w:rPr>
                    <w:rFonts w:ascii="Cambria Math" w:hAnsi="Cambria Math"/>
                    <w:lang w:eastAsia="zh-CN"/>
                  </w:rPr>
                  <m:t>α</m:t>
                </m:r>
                <m:ctrlPr>
                  <w:rPr>
                    <w:rFonts w:ascii="Cambria Math" w:hAnsi="Cambria Math"/>
                    <w:lang w:eastAsia="zh-CN"/>
                  </w:rPr>
                </m:ctrlPr>
              </m:sup>
            </m:sSubSup>
            <m:r>
              <m:rPr/>
              <w:rPr>
                <w:rFonts w:ascii="Cambria Math" w:hAnsi="Cambria Math"/>
                <w:lang w:eastAsia="zh-CN"/>
              </w:rPr>
              <m:t>⋅E</m:t>
            </m:r>
            <m:sSubSup>
              <m:sSubSupPr>
                <m:ctrlPr>
                  <w:rPr>
                    <w:rFonts w:ascii="Cambria Math" w:hAnsi="Cambria Math"/>
                    <w:lang w:eastAsia="zh-CN"/>
                  </w:rPr>
                </m:ctrlPr>
              </m:sSubSupPr>
              <m:e>
                <m:r>
                  <m:rPr/>
                  <w:rPr>
                    <w:rFonts w:ascii="Cambria Math" w:hAnsi="Cambria Math"/>
                    <w:lang w:eastAsia="zh-CN"/>
                  </w:rPr>
                  <m:t>E</m:t>
                </m:r>
                <m:ctrlPr>
                  <w:rPr>
                    <w:rFonts w:ascii="Cambria Math" w:hAnsi="Cambria Math"/>
                    <w:lang w:eastAsia="zh-CN"/>
                  </w:rPr>
                </m:ctrlPr>
              </m:e>
              <m:sub>
                <m:r>
                  <m:rPr>
                    <m:nor/>
                    <m:sty m:val="p"/>
                  </m:rPr>
                  <w:rPr>
                    <w:b w:val="0"/>
                    <w:i w:val="0"/>
                    <w:lang w:eastAsia="zh-CN"/>
                  </w:rPr>
                  <m:t>UE</m:t>
                </m:r>
                <m:ctrlPr>
                  <w:rPr>
                    <w:rFonts w:ascii="Cambria Math" w:hAnsi="Cambria Math"/>
                    <w:lang w:eastAsia="zh-CN"/>
                  </w:rPr>
                </m:ctrlPr>
              </m:sub>
              <m:sup>
                <m:r>
                  <m:rPr/>
                  <w:rPr>
                    <w:rFonts w:ascii="Cambria Math" w:hAnsi="Cambria Math"/>
                    <w:lang w:eastAsia="zh-CN"/>
                  </w:rPr>
                  <m:t>β</m:t>
                </m:r>
                <m:ctrlPr>
                  <w:rPr>
                    <w:rFonts w:ascii="Cambria Math" w:hAnsi="Cambria Math"/>
                    <w:lang w:eastAsia="zh-CN"/>
                  </w:rPr>
                </m:ctrlPr>
              </m:sup>
            </m:sSubSup>
            <m:r>
              <m:rPr/>
              <w:rPr>
                <w:rFonts w:ascii="Cambria Math" w:hAnsi="Cambria Math"/>
                <w:lang w:eastAsia="zh-CN"/>
              </w:rPr>
              <m:t>)</m:t>
            </m:r>
            <m:ctrlPr>
              <w:rPr>
                <w:rFonts w:ascii="Cambria Math" w:hAnsi="Cambria Math"/>
                <w:lang w:eastAsia="zh-CN"/>
              </w:rPr>
            </m:ctrlPr>
          </m:e>
          <m:sup>
            <m:f>
              <m:fPr>
                <m:ctrlPr>
                  <w:rPr>
                    <w:rFonts w:ascii="Cambria Math" w:hAnsi="Cambria Math"/>
                    <w:lang w:eastAsia="zh-CN"/>
                  </w:rPr>
                </m:ctrlPr>
              </m:fPr>
              <m:num>
                <m:r>
                  <m:rPr/>
                  <w:rPr>
                    <w:rFonts w:ascii="Cambria Math" w:hAnsi="Cambria Math"/>
                    <w:lang w:eastAsia="zh-CN"/>
                  </w:rPr>
                  <m:t>1</m:t>
                </m:r>
                <m:ctrlPr>
                  <w:rPr>
                    <w:rFonts w:ascii="Cambria Math" w:hAnsi="Cambria Math"/>
                    <w:lang w:eastAsia="zh-CN"/>
                  </w:rPr>
                </m:ctrlPr>
              </m:num>
              <m:den>
                <m:r>
                  <m:rPr/>
                  <w:rPr>
                    <w:rFonts w:ascii="Cambria Math" w:hAnsi="Cambria Math"/>
                    <w:lang w:eastAsia="zh-CN"/>
                  </w:rPr>
                  <m:t>α+β</m:t>
                </m:r>
                <m:ctrlPr>
                  <w:rPr>
                    <w:rFonts w:ascii="Cambria Math" w:hAnsi="Cambria Math"/>
                    <w:lang w:eastAsia="zh-CN"/>
                  </w:rPr>
                </m:ctrlPr>
              </m:den>
            </m:f>
            <m:ctrlPr>
              <w:rPr>
                <w:rFonts w:ascii="Cambria Math" w:hAnsi="Cambria Math"/>
                <w:lang w:eastAsia="zh-CN"/>
              </w:rPr>
            </m:ctrlPr>
          </m:sup>
        </m:sSup>
      </m:oMath>
      <w:r>
        <w:rPr>
          <w:rFonts w:eastAsia="PMingLiU"/>
          <w:b/>
          <w:bCs/>
          <w:lang w:val="en-US" w:eastAsia="zh-TW"/>
        </w:rPr>
        <w:t>with α+β=2</w:t>
      </w:r>
    </w:p>
    <w:p w14:paraId="0959EEF2">
      <w:pPr>
        <w:numPr>
          <w:ilvl w:val="0"/>
          <w:numId w:val="15"/>
        </w:numPr>
        <w:ind w:left="1260" w:leftChars="0" w:hanging="420" w:firstLineChars="0"/>
        <w:rPr>
          <w:rFonts w:ascii="Times New Roman Bold Italic" w:hAnsi="Times New Roman Bold Italic" w:cs="Times New Roman Bold Italic"/>
          <w:b/>
          <w:bCs/>
          <w:i/>
          <w:iCs/>
          <w:lang w:eastAsia="zh-CN"/>
        </w:rPr>
      </w:pPr>
      <w:r>
        <w:rPr>
          <w:rFonts w:eastAsia="PMingLiU"/>
          <w:b/>
          <w:bCs/>
          <w:lang w:val="en-US" w:eastAsia="zh-TW"/>
        </w:rPr>
        <w:t>Rationale: Balanced improvement on both sides; prevents one-sided optimization; study schemes with (α,β)=(1,1) for equal weighting</w:t>
      </w:r>
    </w:p>
    <w:p w14:paraId="519F23E4">
      <w:pPr>
        <w:numPr>
          <w:ilvl w:val="0"/>
          <w:numId w:val="0"/>
        </w:numPr>
        <w:rPr>
          <w:rFonts w:ascii="Times New Roman Bold Italic" w:hAnsi="Times New Roman Bold Italic" w:cs="Times New Roman Bold Italic"/>
          <w:b/>
          <w:bCs/>
          <w:i/>
          <w:iCs/>
          <w:lang w:eastAsia="zh-CN"/>
        </w:rPr>
      </w:pPr>
    </w:p>
    <w:p w14:paraId="01FB0D1D">
      <w:pPr>
        <w:pStyle w:val="5"/>
        <w:rPr>
          <w:rFonts w:hint="eastAsia"/>
          <w:sz w:val="22"/>
          <w:szCs w:val="22"/>
          <w:lang w:eastAsia="zh-CN"/>
        </w:rPr>
      </w:pPr>
      <w:r>
        <w:rPr>
          <w:lang w:eastAsia="zh-CN"/>
        </w:rPr>
        <w:t>Balancing network-wide optimization objectives</w:t>
      </w:r>
      <w:r>
        <w:rPr>
          <w:rFonts w:hint="eastAsia"/>
          <w:lang w:eastAsia="zh-CN"/>
        </w:rPr>
        <w:t xml:space="preserve">, </w:t>
      </w:r>
      <w:r>
        <w:rPr>
          <w:lang w:eastAsia="zh-CN"/>
        </w:rPr>
        <w:t>such as maximizing energy or spectrum efficiency</w:t>
      </w:r>
      <w:r>
        <w:rPr>
          <w:rFonts w:hint="eastAsia"/>
          <w:lang w:eastAsia="zh-CN"/>
        </w:rPr>
        <w:t xml:space="preserve"> </w:t>
      </w:r>
      <w:r>
        <w:rPr>
          <w:lang w:eastAsia="zh-CN"/>
        </w:rPr>
        <w:t>with the individualized requirements of user experience presents a significant challenge in advanced mobile networks. Strategies that focus on peak resource efficiency at the network level can often conflict with user expectations for low latency, high reliability, and consistent throughput. To manage these conflicts, it is essential that network optimization is conducted under strict QoS constraints, including latency, reliability, and user-perceived throughput. Only after these hard quality-of-service guarantees are satisfied should additional efforts be made to enhance energy or resource efficiency. This methodology safeguards user experience while still enabling improvements in operational efficiency, ultimately achieving a critical balance between service quality and network performance.</w:t>
      </w:r>
    </w:p>
    <w:p w14:paraId="6DF77212">
      <w:pPr>
        <w:pStyle w:val="5"/>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sz w:val="22"/>
          <w:szCs w:val="22"/>
          <w:lang w:eastAsia="zh-CN"/>
        </w:rPr>
        <w:t>Proposal</w:t>
      </w:r>
      <w:commentRangeStart w:id="0"/>
      <w:r>
        <w:rPr>
          <w:rFonts w:hint="eastAsia" w:ascii="Times New Roman Bold Italic" w:hAnsi="Times New Roman Bold Italic" w:cs="Times New Roman Bold Italic"/>
          <w:b/>
          <w:bCs/>
          <w:i/>
          <w:iCs/>
          <w:sz w:val="22"/>
          <w:szCs w:val="22"/>
          <w:lang w:eastAsia="zh-CN"/>
        </w:rPr>
        <w:t xml:space="preserve"> </w:t>
      </w:r>
      <w:r>
        <w:rPr>
          <w:rFonts w:hint="default" w:ascii="Times New Roman Bold Italic" w:hAnsi="Times New Roman Bold Italic" w:cs="Times New Roman Bold Italic"/>
          <w:b/>
          <w:bCs/>
          <w:i/>
          <w:iCs/>
          <w:sz w:val="22"/>
          <w:szCs w:val="22"/>
          <w:lang w:val="en-US" w:eastAsia="zh-CN"/>
        </w:rPr>
        <w:t>7</w:t>
      </w:r>
      <w:commentRangeEnd w:id="0"/>
      <w:r>
        <w:commentReference w:id="0"/>
      </w:r>
      <w:r>
        <w:rPr>
          <w:rFonts w:ascii="Times New Roman Bold Italic" w:hAnsi="Times New Roman Bold Italic" w:cs="Times New Roman Bold Italic"/>
          <w:b/>
          <w:bCs/>
          <w:i/>
          <w:iCs/>
          <w:sz w:val="22"/>
          <w:szCs w:val="22"/>
          <w:lang w:eastAsia="zh-CN"/>
        </w:rPr>
        <w:t xml:space="preserve">: </w:t>
      </w:r>
      <w:r>
        <w:rPr>
          <w:rFonts w:hint="default" w:ascii="Times New Roman Bold Italic" w:hAnsi="Times New Roman Bold Italic" w:cs="Times New Roman Bold Italic"/>
          <w:b/>
          <w:bCs/>
          <w:i/>
          <w:iCs/>
          <w:sz w:val="22"/>
          <w:szCs w:val="22"/>
          <w:lang w:val="en-US" w:eastAsia="zh-CN"/>
        </w:rPr>
        <w:t>Consider how to handle or manage the conflict between 6G EE and UPT/QoS/Latency.</w:t>
      </w:r>
    </w:p>
    <w:p w14:paraId="6850E08E">
      <w:pPr>
        <w:numPr>
          <w:ilvl w:val="0"/>
          <w:numId w:val="0"/>
        </w:numPr>
        <w:rPr>
          <w:rFonts w:ascii="Times New Roman Bold Italic" w:hAnsi="Times New Roman Bold Italic" w:cs="Times New Roman Bold Italic"/>
          <w:b/>
          <w:bCs/>
          <w:i/>
          <w:iCs/>
          <w:lang w:eastAsia="zh-CN"/>
        </w:rPr>
      </w:pPr>
    </w:p>
    <w:p w14:paraId="736C4E8A">
      <w:pPr>
        <w:pStyle w:val="5"/>
        <w:rPr>
          <w:rFonts w:hint="default" w:ascii="Times New Roman" w:hAnsi="Times New Roman" w:cs="Times New Roman"/>
          <w:b w:val="0"/>
          <w:bCs w:val="0"/>
          <w:i w:val="0"/>
          <w:iCs w:val="0"/>
          <w:lang w:val="en-US" w:eastAsia="zh-CN"/>
        </w:rPr>
      </w:pPr>
      <w:r>
        <w:rPr>
          <w:rFonts w:hint="default" w:ascii="Times New Roman" w:hAnsi="Times New Roman" w:cs="Times New Roman"/>
          <w:b w:val="0"/>
          <w:bCs w:val="0"/>
          <w:i w:val="0"/>
          <w:iCs w:val="0"/>
          <w:lang w:val="en-US" w:eastAsia="zh-CN"/>
        </w:rPr>
        <w:t>Also, below proposal given one guidance to define load model.</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3052ECF9">
        <w:tc>
          <w:tcPr>
            <w:tcW w:w="9307" w:type="dxa"/>
          </w:tcPr>
          <w:p w14:paraId="562D5396">
            <w:pPr>
              <w:widowControl w:val="0"/>
              <w:rPr>
                <w:rFonts w:eastAsia="PMingLiU"/>
                <w:b/>
                <w:bCs/>
                <w:lang w:val="en-US" w:eastAsia="zh-TW"/>
              </w:rPr>
            </w:pPr>
            <w:r>
              <w:rPr>
                <w:rFonts w:eastAsia="PMingLiU"/>
                <w:b/>
                <w:bCs/>
                <w:lang w:val="en-US" w:eastAsia="zh-TW"/>
              </w:rPr>
              <w:t xml:space="preserve">Proposal 3.1.2.2a: </w:t>
            </w:r>
          </w:p>
          <w:p w14:paraId="23EC7D48">
            <w:pPr>
              <w:widowControl w:val="0"/>
              <w:rPr>
                <w:rFonts w:eastAsia="PMingLiU"/>
                <w:b/>
                <w:bCs/>
                <w:lang w:val="en-US" w:eastAsia="zh-TW"/>
              </w:rPr>
            </w:pPr>
            <w:r>
              <w:rPr>
                <w:rFonts w:eastAsia="PMingLiU"/>
                <w:b/>
                <w:bCs/>
                <w:lang w:val="en-US" w:eastAsia="zh-TW"/>
              </w:rPr>
              <w:t>For 6GR energy efficiency evaluation, at least the following load cases are evaluated</w:t>
            </w:r>
          </w:p>
          <w:p w14:paraId="428EFA30">
            <w:pPr>
              <w:widowControl w:val="0"/>
              <w:rPr>
                <w:rFonts w:eastAsia="PMingLiU"/>
                <w:b/>
                <w:bCs/>
                <w:lang w:val="en-US" w:eastAsia="zh-TW"/>
              </w:rPr>
            </w:pPr>
            <w:r>
              <w:rPr>
                <w:rFonts w:eastAsia="PMingLiU"/>
                <w:b/>
                <w:bCs/>
                <w:lang w:val="en-US" w:eastAsia="zh-TW"/>
              </w:rPr>
              <w:t>Apply load-dependent evaluation methodology with the following approach:</w:t>
            </w:r>
          </w:p>
          <w:p w14:paraId="0220E4C6">
            <w:pPr>
              <w:widowControl w:val="0"/>
              <w:numPr>
                <w:ilvl w:val="0"/>
                <w:numId w:val="16"/>
              </w:numPr>
              <w:rPr>
                <w:rFonts w:eastAsia="PMingLiU"/>
                <w:b/>
                <w:bCs/>
                <w:lang w:val="en-US" w:eastAsia="zh-TW"/>
              </w:rPr>
            </w:pPr>
            <w:r>
              <w:rPr>
                <w:rFonts w:eastAsia="PMingLiU"/>
                <w:b/>
                <w:bCs/>
                <w:lang w:val="en-US" w:eastAsia="zh-TW"/>
              </w:rPr>
              <w:t>Empty (L=0), low (0&lt;L≤15%), light (15%&lt;L≤30%), and medium (30%&lt;L≤50%), where L represents RU ratio.</w:t>
            </w:r>
          </w:p>
          <w:p w14:paraId="5F5720AF">
            <w:pPr>
              <w:widowControl w:val="0"/>
              <w:numPr>
                <w:ilvl w:val="0"/>
                <w:numId w:val="16"/>
              </w:numPr>
              <w:rPr>
                <w:rFonts w:ascii="Times" w:hAnsi="Times" w:eastAsia="Calibri" w:cs="Arial"/>
                <w:szCs w:val="24"/>
              </w:rPr>
            </w:pPr>
            <w:r>
              <w:rPr>
                <w:rFonts w:eastAsia="PMingLiU"/>
                <w:b/>
                <w:bCs/>
                <w:lang w:val="en-US" w:eastAsia="zh-TW"/>
              </w:rPr>
              <w:t>FFS: whether/how high/full load scenarios should be included, e.g., for IMT2030 related metrics</w:t>
            </w:r>
          </w:p>
        </w:tc>
      </w:tr>
    </w:tbl>
    <w:p w14:paraId="58D5DEFD">
      <w:pPr>
        <w:pStyle w:val="5"/>
        <w:rPr>
          <w:rFonts w:hint="default" w:ascii="Times New Roman" w:hAnsi="Times New Roman" w:cs="Times New Roman"/>
          <w:b w:val="0"/>
          <w:bCs w:val="0"/>
          <w:i w:val="0"/>
          <w:iCs w:val="0"/>
          <w:lang w:val="en-US" w:eastAsia="zh-CN"/>
        </w:rPr>
      </w:pPr>
      <w:r>
        <w:rPr>
          <w:rFonts w:hint="default" w:ascii="Times New Roman" w:hAnsi="Times New Roman" w:cs="Times New Roman"/>
          <w:b w:val="0"/>
          <w:bCs w:val="0"/>
          <w:i w:val="0"/>
          <w:iCs w:val="0"/>
          <w:lang w:val="en-US" w:eastAsia="zh-CN"/>
        </w:rPr>
        <w:t>Based on above definition and consideration, we further give potential load model as below.</w:t>
      </w:r>
    </w:p>
    <w:p w14:paraId="5B5C6236">
      <w:pPr>
        <w:pStyle w:val="5"/>
        <w:numPr>
          <w:ilvl w:val="0"/>
          <w:numId w:val="17"/>
        </w:numPr>
        <w:ind w:left="420" w:leftChars="0" w:hanging="420" w:firstLineChars="0"/>
        <w:rPr>
          <w:rFonts w:hint="eastAsia"/>
          <w:lang w:eastAsia="zh-CN"/>
        </w:rPr>
      </w:pPr>
      <w:r>
        <w:rPr>
          <w:b/>
          <w:bCs/>
          <w:lang w:eastAsia="zh-CN"/>
        </w:rPr>
        <w:t>Empty</w:t>
      </w:r>
      <w:r>
        <w:rPr>
          <w:rFonts w:hint="eastAsia"/>
          <w:b/>
          <w:bCs/>
          <w:lang w:eastAsia="zh-CN"/>
        </w:rPr>
        <w:t xml:space="preserve"> </w:t>
      </w:r>
      <w:r>
        <w:rPr>
          <w:b/>
          <w:bCs/>
          <w:lang w:eastAsia="zh-CN"/>
        </w:rPr>
        <w:t>/</w:t>
      </w:r>
      <w:r>
        <w:rPr>
          <w:rFonts w:hint="eastAsia"/>
          <w:b/>
          <w:bCs/>
          <w:lang w:eastAsia="zh-CN"/>
        </w:rPr>
        <w:t xml:space="preserve"> </w:t>
      </w:r>
      <w:r>
        <w:rPr>
          <w:b/>
          <w:bCs/>
          <w:lang w:eastAsia="zh-CN"/>
        </w:rPr>
        <w:t>Idle Load (L = 0):</w:t>
      </w:r>
      <w:r>
        <w:rPr>
          <w:rFonts w:hint="eastAsia"/>
          <w:b/>
          <w:bCs/>
          <w:lang w:eastAsia="zh-CN"/>
        </w:rPr>
        <w:t xml:space="preserve"> </w:t>
      </w:r>
      <w:r>
        <w:rPr>
          <w:lang w:eastAsia="zh-CN"/>
        </w:rPr>
        <w:t>Sleep-mode power consumption of BS and UE, percentage of time spent in deep sleep or idle states.</w:t>
      </w:r>
      <w:r>
        <w:rPr>
          <w:rFonts w:hint="eastAsia"/>
          <w:lang w:eastAsia="zh-CN"/>
        </w:rPr>
        <w:t xml:space="preserve"> </w:t>
      </w:r>
    </w:p>
    <w:p w14:paraId="130ACF49">
      <w:pPr>
        <w:pStyle w:val="5"/>
        <w:numPr>
          <w:ilvl w:val="0"/>
          <w:numId w:val="17"/>
        </w:numPr>
        <w:ind w:left="420" w:leftChars="0" w:hanging="420" w:firstLineChars="0"/>
        <w:rPr>
          <w:lang w:eastAsia="zh-CN"/>
        </w:rPr>
      </w:pPr>
      <w:r>
        <w:rPr>
          <w:b/>
          <w:bCs/>
          <w:lang w:eastAsia="zh-CN"/>
        </w:rPr>
        <w:t>Low Load (0 &lt; L ≤ 10%):</w:t>
      </w:r>
      <w:r>
        <w:rPr>
          <w:rFonts w:hint="eastAsia"/>
          <w:b/>
          <w:bCs/>
          <w:lang w:eastAsia="zh-CN"/>
        </w:rPr>
        <w:t xml:space="preserve"> </w:t>
      </w:r>
      <w:r>
        <w:rPr>
          <w:lang w:eastAsia="zh-CN"/>
        </w:rPr>
        <w:t>Energy efficiency (bits/Joule), effective utilization of micro-sleep and fast wake-up mechanisms, and baseline service availability.</w:t>
      </w:r>
    </w:p>
    <w:p w14:paraId="19F96B92">
      <w:pPr>
        <w:pStyle w:val="5"/>
        <w:numPr>
          <w:ilvl w:val="0"/>
          <w:numId w:val="17"/>
        </w:numPr>
        <w:ind w:left="420" w:leftChars="0" w:hanging="420" w:firstLineChars="0"/>
        <w:rPr>
          <w:lang w:eastAsia="zh-CN"/>
        </w:rPr>
      </w:pPr>
      <w:r>
        <w:rPr>
          <w:b/>
          <w:bCs/>
          <w:lang w:eastAsia="zh-CN"/>
        </w:rPr>
        <w:t>Light Load (10% &lt; L ≤ 30%):</w:t>
      </w:r>
      <w:r>
        <w:rPr>
          <w:rFonts w:hint="eastAsia"/>
          <w:b/>
          <w:bCs/>
          <w:lang w:eastAsia="zh-CN"/>
        </w:rPr>
        <w:t xml:space="preserve"> </w:t>
      </w:r>
      <w:r>
        <w:rPr>
          <w:lang w:eastAsia="zh-CN"/>
        </w:rPr>
        <w:t>Average user data rate per unit power, dynamic adaptation of active resources, and latency stability for sparse traffic.</w:t>
      </w:r>
    </w:p>
    <w:p w14:paraId="1AF319EB">
      <w:pPr>
        <w:pStyle w:val="5"/>
        <w:numPr>
          <w:ilvl w:val="0"/>
          <w:numId w:val="17"/>
        </w:numPr>
        <w:ind w:left="420" w:leftChars="0" w:hanging="420" w:firstLineChars="0"/>
        <w:rPr>
          <w:lang w:eastAsia="zh-CN"/>
        </w:rPr>
      </w:pPr>
      <w:r>
        <w:rPr>
          <w:b/>
          <w:bCs/>
          <w:lang w:eastAsia="zh-CN"/>
        </w:rPr>
        <w:t xml:space="preserve">Medium Load (30% &lt; L ≤ </w:t>
      </w:r>
      <w:r>
        <w:rPr>
          <w:rFonts w:hint="eastAsia"/>
          <w:b/>
          <w:bCs/>
          <w:lang w:eastAsia="zh-CN"/>
        </w:rPr>
        <w:t>5</w:t>
      </w:r>
      <w:r>
        <w:rPr>
          <w:b/>
          <w:bCs/>
          <w:lang w:eastAsia="zh-CN"/>
        </w:rPr>
        <w:t>0%):</w:t>
      </w:r>
      <w:r>
        <w:rPr>
          <w:rFonts w:hint="eastAsia"/>
          <w:b/>
          <w:bCs/>
          <w:lang w:eastAsia="zh-CN"/>
        </w:rPr>
        <w:t xml:space="preserve"> </w:t>
      </w:r>
      <w:r>
        <w:rPr>
          <w:lang w:eastAsia="zh-CN"/>
        </w:rPr>
        <w:t>Joint optimization of throughput, latency, and power consumption, with focus on multi-user scheduling and fair resource allocation.</w:t>
      </w:r>
    </w:p>
    <w:p w14:paraId="2364A01B">
      <w:pPr>
        <w:pStyle w:val="5"/>
        <w:numPr>
          <w:ilvl w:val="0"/>
          <w:numId w:val="17"/>
        </w:numPr>
        <w:ind w:left="420" w:leftChars="0" w:hanging="420" w:firstLineChars="0"/>
        <w:rPr>
          <w:lang w:eastAsia="zh-CN"/>
        </w:rPr>
      </w:pPr>
      <w:r>
        <w:rPr>
          <w:b/>
          <w:bCs/>
          <w:lang w:eastAsia="zh-CN"/>
        </w:rPr>
        <w:t xml:space="preserve">High Load (L &gt; </w:t>
      </w:r>
      <w:r>
        <w:rPr>
          <w:rFonts w:hint="eastAsia"/>
          <w:b/>
          <w:bCs/>
          <w:lang w:eastAsia="zh-CN"/>
        </w:rPr>
        <w:t>5</w:t>
      </w:r>
      <w:r>
        <w:rPr>
          <w:b/>
          <w:bCs/>
          <w:lang w:eastAsia="zh-CN"/>
        </w:rPr>
        <w:t>0%):</w:t>
      </w:r>
      <w:r>
        <w:rPr>
          <w:rFonts w:hint="eastAsia"/>
          <w:b/>
          <w:bCs/>
          <w:lang w:eastAsia="zh-CN"/>
        </w:rPr>
        <w:t xml:space="preserve"> </w:t>
      </w:r>
      <w:r>
        <w:rPr>
          <w:lang w:eastAsia="zh-CN"/>
        </w:rPr>
        <w:t>Peak energy efficiency (bits/Joule at maximum capacity), system robustness under heavy traffic, and maintenance of QoS guarantees.</w:t>
      </w:r>
    </w:p>
    <w:p w14:paraId="58AC878F">
      <w:pPr>
        <w:pStyle w:val="5"/>
        <w:numPr>
          <w:ilvl w:val="0"/>
          <w:numId w:val="0"/>
        </w:numPr>
        <w:ind w:leftChars="0"/>
        <w:rPr>
          <w:lang w:eastAsia="zh-CN"/>
        </w:rPr>
      </w:pPr>
    </w:p>
    <w:p w14:paraId="1E640622">
      <w:pPr>
        <w:pStyle w:val="5"/>
        <w:rPr>
          <w:rFonts w:hint="default" w:ascii="Times New Roman Bold Italic" w:hAnsi="Times New Roman Bold Italic" w:eastAsia="PMingLiU" w:cs="Times New Roman Bold Italic"/>
          <w:b/>
          <w:bCs/>
          <w:i/>
          <w:iCs/>
          <w:lang w:val="en-US" w:eastAsia="zh-TW"/>
        </w:rPr>
      </w:pPr>
      <w:r>
        <w:rPr>
          <w:rFonts w:ascii="Times New Roman Bold Italic" w:hAnsi="Times New Roman Bold Italic" w:cs="Times New Roman Bold Italic"/>
          <w:b/>
          <w:bCs/>
          <w:i/>
          <w:iCs/>
          <w:sz w:val="22"/>
          <w:szCs w:val="22"/>
          <w:lang w:eastAsia="zh-CN"/>
        </w:rPr>
        <w:t>Proposal</w:t>
      </w:r>
      <w:r>
        <w:rPr>
          <w:rFonts w:hint="eastAsia" w:ascii="Times New Roman Bold Italic" w:hAnsi="Times New Roman Bold Italic" w:cs="Times New Roman Bold Italic"/>
          <w:b/>
          <w:bCs/>
          <w:i/>
          <w:iCs/>
          <w:sz w:val="22"/>
          <w:szCs w:val="22"/>
          <w:lang w:eastAsia="zh-CN"/>
        </w:rPr>
        <w:t xml:space="preserve"> </w:t>
      </w:r>
      <w:r>
        <w:rPr>
          <w:rFonts w:hint="default" w:ascii="Times New Roman Bold Italic" w:hAnsi="Times New Roman Bold Italic" w:cs="Times New Roman Bold Italic"/>
          <w:b/>
          <w:bCs/>
          <w:i/>
          <w:iCs/>
          <w:sz w:val="22"/>
          <w:szCs w:val="22"/>
          <w:lang w:val="en-US" w:eastAsia="zh-CN"/>
        </w:rPr>
        <w:t>4</w:t>
      </w:r>
      <w:r>
        <w:rPr>
          <w:rFonts w:ascii="Times New Roman Bold Italic" w:hAnsi="Times New Roman Bold Italic" w:cs="Times New Roman Bold Italic"/>
          <w:b/>
          <w:bCs/>
          <w:i/>
          <w:iCs/>
          <w:sz w:val="22"/>
          <w:szCs w:val="22"/>
          <w:lang w:eastAsia="zh-CN"/>
        </w:rPr>
        <w:t xml:space="preserve">: </w:t>
      </w:r>
      <w:r>
        <w:rPr>
          <w:rFonts w:hint="default" w:ascii="Times New Roman Bold Italic" w:hAnsi="Times New Roman Bold Italic" w:cs="Times New Roman Bold Italic"/>
          <w:b/>
          <w:bCs/>
          <w:i/>
          <w:iCs/>
          <w:sz w:val="22"/>
          <w:szCs w:val="22"/>
          <w:lang w:val="en-US" w:eastAsia="zh-CN"/>
        </w:rPr>
        <w:t xml:space="preserve">For 6G </w:t>
      </w:r>
      <w:r>
        <w:rPr>
          <w:rFonts w:hint="default" w:ascii="Times New Roman Bold Italic" w:hAnsi="Times New Roman Bold Italic" w:eastAsia="PMingLiU" w:cs="Times New Roman Bold Italic"/>
          <w:b/>
          <w:bCs/>
          <w:i/>
          <w:iCs/>
          <w:lang w:val="en-US" w:eastAsia="zh-TW"/>
        </w:rPr>
        <w:t>energy efficiency evaluation, at least the following load cases are evaluated:</w:t>
      </w:r>
    </w:p>
    <w:p w14:paraId="77EF9652">
      <w:pPr>
        <w:pStyle w:val="5"/>
        <w:numPr>
          <w:ilvl w:val="0"/>
          <w:numId w:val="17"/>
        </w:numPr>
        <w:ind w:left="420" w:leftChars="0" w:hanging="420" w:firstLineChars="0"/>
        <w:rPr>
          <w:rFonts w:hint="default" w:ascii="Times New Roman Bold Italic" w:hAnsi="Times New Roman Bold Italic" w:eastAsia="PMingLiU" w:cs="Times New Roman Bold Italic"/>
          <w:b/>
          <w:bCs/>
          <w:i/>
          <w:iCs/>
          <w:lang w:val="en-US" w:eastAsia="zh-TW"/>
        </w:rPr>
      </w:pPr>
      <w:r>
        <w:rPr>
          <w:rFonts w:hint="default" w:ascii="Times New Roman Bold Italic" w:hAnsi="Times New Roman Bold Italic" w:cs="Times New Roman Bold Italic"/>
          <w:b/>
          <w:bCs/>
          <w:i/>
          <w:iCs/>
          <w:lang w:eastAsia="zh-CN"/>
        </w:rPr>
        <w:t>Empty / Idle Load (L = 0)</w:t>
      </w:r>
    </w:p>
    <w:p w14:paraId="6AAD0CF1">
      <w:pPr>
        <w:pStyle w:val="5"/>
        <w:numPr>
          <w:ilvl w:val="0"/>
          <w:numId w:val="17"/>
        </w:numPr>
        <w:ind w:left="420" w:leftChars="0" w:hanging="420" w:firstLineChars="0"/>
        <w:rPr>
          <w:rFonts w:hint="default" w:ascii="Times New Roman Bold Italic" w:hAnsi="Times New Roman Bold Italic" w:eastAsia="PMingLiU" w:cs="Times New Roman Bold Italic"/>
          <w:b/>
          <w:bCs/>
          <w:i/>
          <w:iCs/>
          <w:lang w:val="en-US" w:eastAsia="zh-TW"/>
        </w:rPr>
      </w:pPr>
      <w:r>
        <w:rPr>
          <w:rFonts w:hint="default" w:ascii="Times New Roman Bold Italic" w:hAnsi="Times New Roman Bold Italic" w:cs="Times New Roman Bold Italic"/>
          <w:b/>
          <w:bCs/>
          <w:i/>
          <w:iCs/>
          <w:lang w:eastAsia="zh-CN"/>
        </w:rPr>
        <w:t>Low Load (0 &lt; L ≤ 10%)</w:t>
      </w:r>
    </w:p>
    <w:p w14:paraId="4FD5F194">
      <w:pPr>
        <w:pStyle w:val="5"/>
        <w:numPr>
          <w:ilvl w:val="0"/>
          <w:numId w:val="17"/>
        </w:numPr>
        <w:ind w:left="420" w:leftChars="0" w:hanging="420" w:firstLineChars="0"/>
        <w:rPr>
          <w:rFonts w:hint="default" w:ascii="Times New Roman Bold Italic" w:hAnsi="Times New Roman Bold Italic" w:eastAsia="PMingLiU" w:cs="Times New Roman Bold Italic"/>
          <w:b/>
          <w:bCs/>
          <w:i/>
          <w:iCs/>
          <w:lang w:val="en-US" w:eastAsia="zh-TW"/>
        </w:rPr>
      </w:pPr>
      <w:r>
        <w:rPr>
          <w:rFonts w:hint="default" w:ascii="Times New Roman Bold Italic" w:hAnsi="Times New Roman Bold Italic" w:cs="Times New Roman Bold Italic"/>
          <w:b/>
          <w:bCs/>
          <w:i/>
          <w:iCs/>
          <w:lang w:eastAsia="zh-CN"/>
        </w:rPr>
        <w:t>Light Load (10% &lt; L ≤ 30%)</w:t>
      </w:r>
    </w:p>
    <w:p w14:paraId="6137A89C">
      <w:pPr>
        <w:pStyle w:val="5"/>
        <w:numPr>
          <w:ilvl w:val="0"/>
          <w:numId w:val="17"/>
        </w:numPr>
        <w:ind w:left="420" w:leftChars="0" w:hanging="420" w:firstLineChars="0"/>
        <w:rPr>
          <w:rFonts w:hint="default" w:ascii="Times New Roman Bold Italic" w:hAnsi="Times New Roman Bold Italic" w:eastAsia="PMingLiU" w:cs="Times New Roman Bold Italic"/>
          <w:b/>
          <w:bCs/>
          <w:i/>
          <w:iCs/>
          <w:lang w:val="en-US" w:eastAsia="zh-TW"/>
        </w:rPr>
      </w:pPr>
      <w:r>
        <w:rPr>
          <w:rFonts w:hint="default" w:ascii="Times New Roman Bold Italic" w:hAnsi="Times New Roman Bold Italic" w:cs="Times New Roman Bold Italic"/>
          <w:b/>
          <w:bCs/>
          <w:i/>
          <w:iCs/>
          <w:lang w:eastAsia="zh-CN"/>
        </w:rPr>
        <w:t>Medium Load (30% &lt; L ≤ 50%)</w:t>
      </w:r>
    </w:p>
    <w:p w14:paraId="5392388C">
      <w:pPr>
        <w:pStyle w:val="5"/>
        <w:numPr>
          <w:ilvl w:val="0"/>
          <w:numId w:val="17"/>
        </w:numPr>
        <w:ind w:left="420" w:leftChars="0" w:hanging="420" w:firstLineChars="0"/>
        <w:rPr>
          <w:rFonts w:hint="default" w:eastAsia="PMingLiU"/>
          <w:b/>
          <w:bCs/>
          <w:lang w:val="en-US" w:eastAsia="zh-CN"/>
        </w:rPr>
      </w:pPr>
      <w:r>
        <w:rPr>
          <w:rFonts w:hint="default" w:ascii="Times New Roman Bold Italic" w:hAnsi="Times New Roman Bold Italic" w:cs="Times New Roman Bold Italic"/>
          <w:b/>
          <w:bCs/>
          <w:i/>
          <w:iCs/>
          <w:lang w:eastAsia="zh-CN"/>
        </w:rPr>
        <w:t>High Load (L &gt; 50%)</w:t>
      </w:r>
    </w:p>
    <w:p w14:paraId="0682BA9A">
      <w:pPr>
        <w:rPr>
          <w:rFonts w:ascii="Times New Roman Bold Italic" w:hAnsi="Times New Roman Bold Italic" w:cs="Times New Roman Bold Italic"/>
          <w:b/>
          <w:bCs/>
          <w:i/>
          <w:iCs/>
          <w:lang w:eastAsia="zh-CN"/>
        </w:rPr>
      </w:pPr>
    </w:p>
    <w:bookmarkEnd w:id="8"/>
    <w:p w14:paraId="55015180">
      <w:pPr>
        <w:outlineLvl w:val="1"/>
        <w:rPr>
          <w:rFonts w:hint="default"/>
          <w:lang w:val="en-US" w:eastAsia="zh-CN"/>
        </w:rPr>
      </w:pPr>
      <w:r>
        <w:rPr>
          <w:rFonts w:ascii="Times New Roman Bold" w:hAnsi="Times New Roman Bold" w:cs="Times New Roman Bold"/>
          <w:b/>
          <w:bCs/>
          <w:lang w:eastAsia="zh-CN"/>
        </w:rPr>
        <w:t xml:space="preserve">3.3 </w:t>
      </w:r>
      <w:bookmarkStart w:id="9" w:name="OLE_LINK16"/>
      <w:r>
        <w:rPr>
          <w:rFonts w:hint="default" w:ascii="Times New Roman Bold" w:hAnsi="Times New Roman Bold" w:cs="Times New Roman Bold"/>
          <w:b/>
          <w:bCs/>
          <w:lang w:val="en-US" w:eastAsia="zh-CN"/>
        </w:rPr>
        <w:t>C</w:t>
      </w:r>
      <w:r>
        <w:rPr>
          <w:rFonts w:ascii="Times New Roman Bold" w:hAnsi="Times New Roman Bold" w:cs="Times New Roman Bold"/>
          <w:b/>
          <w:bCs/>
          <w:lang w:eastAsia="zh-CN"/>
        </w:rPr>
        <w:t xml:space="preserve">omprehensive </w:t>
      </w:r>
      <w:r>
        <w:rPr>
          <w:rFonts w:hint="default" w:ascii="Times New Roman Bold" w:hAnsi="Times New Roman Bold" w:cs="Times New Roman Bold"/>
          <w:b/>
          <w:bCs/>
          <w:lang w:val="en-US" w:eastAsia="zh-CN"/>
        </w:rPr>
        <w:t>metrics</w:t>
      </w:r>
      <w:bookmarkEnd w:id="9"/>
      <w:r>
        <w:rPr>
          <w:rFonts w:hint="default" w:ascii="Times New Roman Bold" w:hAnsi="Times New Roman Bold" w:cs="Times New Roman Bold"/>
          <w:b/>
          <w:bCs/>
          <w:lang w:val="en-US" w:eastAsia="zh-CN"/>
        </w:rPr>
        <w:t>-energy efficiency level (EEL)</w:t>
      </w:r>
    </w:p>
    <w:p w14:paraId="7CCA00B3">
      <w:pPr>
        <w:pStyle w:val="5"/>
        <w:rPr>
          <w:rFonts w:hint="eastAsia"/>
          <w:lang w:eastAsia="zh-CN"/>
        </w:rPr>
      </w:pPr>
      <w:r>
        <w:rPr>
          <w:lang w:eastAsia="zh-CN"/>
        </w:rPr>
        <w:t>As 6G networks evolve, energy efficiency evaluation must become more comprehensive, capturing not just peak performance but also factors like latency, coverage, idle consumption, and spatial energy distribution. Treat A (Peak Energy Efficiency Ratio), B (Latency Energy Ratio), C (Coverage Energy Ratio), D (Idle Power Ratio), and E (Energy Power Density) as a unified quintuple for grade evaluation. First, establish harmonized measurement conventions and distributional summaries , and introduce corresponding measurement elements and reporting intervals in the RRC and O-RAN interfaces so that both UE and NB</w:t>
      </w:r>
      <w:r>
        <w:rPr>
          <w:rFonts w:hint="eastAsia"/>
          <w:lang w:eastAsia="zh-CN"/>
        </w:rPr>
        <w:t xml:space="preserve"> </w:t>
      </w:r>
      <w:r>
        <w:rPr>
          <w:lang w:eastAsia="zh-CN"/>
        </w:rPr>
        <w:t xml:space="preserve">side statistics are persisted in the network database. At the standards level, apply dimensionless normalization to A–E and construct a composite energy-efficiency index using a weighted geometric mean, </w:t>
      </w:r>
      <w:commentRangeStart w:id="1"/>
      <m:oMath>
        <m:r>
          <m:rPr/>
          <w:rPr>
            <w:rFonts w:ascii="Cambria Math" w:hAnsi="Cambria Math"/>
            <w:lang w:eastAsia="zh-CN"/>
          </w:rPr>
          <m:t>f=</m:t>
        </m:r>
        <m:sSup>
          <m:sSupPr>
            <m:ctrlPr>
              <w:rPr>
                <w:rFonts w:ascii="Cambria Math" w:hAnsi="Cambria Math"/>
                <w:lang w:eastAsia="zh-CN"/>
              </w:rPr>
            </m:ctrlPr>
          </m:sSupPr>
          <m:e>
            <m:r>
              <m:rPr/>
              <w:rPr>
                <w:rFonts w:ascii="Cambria Math" w:hAnsi="Cambria Math"/>
                <w:lang w:eastAsia="zh-CN"/>
              </w:rPr>
              <m:t>A</m:t>
            </m:r>
            <m:ctrlPr>
              <w:rPr>
                <w:rFonts w:ascii="Cambria Math" w:hAnsi="Cambria Math"/>
                <w:lang w:eastAsia="zh-CN"/>
              </w:rPr>
            </m:ctrlPr>
          </m:e>
          <m:sup>
            <m:r>
              <m:rPr/>
              <w:rPr>
                <w:rFonts w:ascii="Cambria Math" w:hAnsi="Cambria Math"/>
                <w:lang w:eastAsia="zh-CN"/>
              </w:rPr>
              <m:t>a</m:t>
            </m:r>
            <m:ctrlPr>
              <w:rPr>
                <w:rFonts w:ascii="Cambria Math" w:hAnsi="Cambria Math"/>
                <w:lang w:eastAsia="zh-CN"/>
              </w:rPr>
            </m:ctrlPr>
          </m:sup>
        </m:sSup>
        <m:r>
          <m:rPr/>
          <w:rPr>
            <w:rFonts w:ascii="Cambria Math" w:hAnsi="Cambria Math"/>
            <w:lang w:eastAsia="zh-CN"/>
          </w:rPr>
          <m:t>⋅</m:t>
        </m:r>
        <m:sSup>
          <m:sSupPr>
            <m:ctrlPr>
              <w:rPr>
                <w:rFonts w:ascii="Cambria Math" w:hAnsi="Cambria Math"/>
                <w:lang w:eastAsia="zh-CN"/>
              </w:rPr>
            </m:ctrlPr>
          </m:sSupPr>
          <m:e>
            <m:r>
              <m:rPr/>
              <w:rPr>
                <w:rFonts w:ascii="Cambria Math" w:hAnsi="Cambria Math"/>
                <w:lang w:eastAsia="zh-CN"/>
              </w:rPr>
              <m:t>B</m:t>
            </m:r>
            <m:ctrlPr>
              <w:rPr>
                <w:rFonts w:ascii="Cambria Math" w:hAnsi="Cambria Math"/>
                <w:lang w:eastAsia="zh-CN"/>
              </w:rPr>
            </m:ctrlPr>
          </m:e>
          <m:sup>
            <m:r>
              <m:rPr/>
              <w:rPr>
                <w:rFonts w:ascii="Cambria Math" w:hAnsi="Cambria Math"/>
                <w:lang w:eastAsia="zh-CN"/>
              </w:rPr>
              <m:t>b</m:t>
            </m:r>
            <m:ctrlPr>
              <w:rPr>
                <w:rFonts w:ascii="Cambria Math" w:hAnsi="Cambria Math"/>
                <w:lang w:eastAsia="zh-CN"/>
              </w:rPr>
            </m:ctrlPr>
          </m:sup>
        </m:sSup>
        <m:r>
          <m:rPr/>
          <w:rPr>
            <w:rFonts w:ascii="Cambria Math" w:hAnsi="Cambria Math"/>
            <w:lang w:eastAsia="zh-CN"/>
          </w:rPr>
          <m:t>⋅</m:t>
        </m:r>
        <m:sSup>
          <m:sSupPr>
            <m:ctrlPr>
              <w:rPr>
                <w:rFonts w:ascii="Cambria Math" w:hAnsi="Cambria Math"/>
                <w:lang w:eastAsia="zh-CN"/>
              </w:rPr>
            </m:ctrlPr>
          </m:sSupPr>
          <m:e>
            <m:r>
              <m:rPr/>
              <w:rPr>
                <w:rFonts w:ascii="Cambria Math" w:hAnsi="Cambria Math"/>
                <w:lang w:eastAsia="zh-CN"/>
              </w:rPr>
              <m:t>C</m:t>
            </m:r>
            <m:ctrlPr>
              <w:rPr>
                <w:rFonts w:ascii="Cambria Math" w:hAnsi="Cambria Math"/>
                <w:lang w:eastAsia="zh-CN"/>
              </w:rPr>
            </m:ctrlPr>
          </m:e>
          <m:sup>
            <m:r>
              <m:rPr/>
              <w:rPr>
                <w:rFonts w:ascii="Cambria Math" w:hAnsi="Cambria Math"/>
                <w:lang w:eastAsia="zh-CN"/>
              </w:rPr>
              <m:t>c</m:t>
            </m:r>
            <m:ctrlPr>
              <w:rPr>
                <w:rFonts w:ascii="Cambria Math" w:hAnsi="Cambria Math"/>
                <w:lang w:eastAsia="zh-CN"/>
              </w:rPr>
            </m:ctrlPr>
          </m:sup>
        </m:sSup>
        <m:r>
          <m:rPr/>
          <w:rPr>
            <w:rFonts w:ascii="Cambria Math" w:hAnsi="Cambria Math"/>
            <w:lang w:eastAsia="zh-CN"/>
          </w:rPr>
          <m:t>⋅</m:t>
        </m:r>
        <m:sSup>
          <m:sSupPr>
            <m:ctrlPr>
              <w:rPr>
                <w:rFonts w:ascii="Cambria Math" w:hAnsi="Cambria Math"/>
                <w:lang w:eastAsia="zh-CN"/>
              </w:rPr>
            </m:ctrlPr>
          </m:sSupPr>
          <m:e>
            <m:r>
              <m:rPr/>
              <w:rPr>
                <w:rFonts w:ascii="Cambria Math" w:hAnsi="Cambria Math"/>
                <w:lang w:eastAsia="zh-CN"/>
              </w:rPr>
              <m:t>D</m:t>
            </m:r>
            <m:ctrlPr>
              <w:rPr>
                <w:rFonts w:ascii="Cambria Math" w:hAnsi="Cambria Math"/>
                <w:lang w:eastAsia="zh-CN"/>
              </w:rPr>
            </m:ctrlPr>
          </m:e>
          <m:sup>
            <m:r>
              <m:rPr/>
              <w:rPr>
                <w:rFonts w:ascii="Cambria Math" w:hAnsi="Cambria Math"/>
                <w:lang w:eastAsia="zh-CN"/>
              </w:rPr>
              <m:t>d</m:t>
            </m:r>
            <m:ctrlPr>
              <w:rPr>
                <w:rFonts w:ascii="Cambria Math" w:hAnsi="Cambria Math"/>
                <w:lang w:eastAsia="zh-CN"/>
              </w:rPr>
            </m:ctrlPr>
          </m:sup>
        </m:sSup>
        <m:r>
          <m:rPr/>
          <w:rPr>
            <w:rFonts w:ascii="Cambria Math" w:hAnsi="Cambria Math"/>
            <w:lang w:eastAsia="zh-CN"/>
          </w:rPr>
          <m:t>⋅</m:t>
        </m:r>
        <m:sSup>
          <m:sSupPr>
            <m:ctrlPr>
              <w:rPr>
                <w:rFonts w:ascii="Cambria Math" w:hAnsi="Cambria Math"/>
                <w:lang w:eastAsia="zh-CN"/>
              </w:rPr>
            </m:ctrlPr>
          </m:sSupPr>
          <m:e>
            <m:r>
              <m:rPr/>
              <w:rPr>
                <w:rFonts w:ascii="Cambria Math" w:hAnsi="Cambria Math"/>
                <w:lang w:eastAsia="zh-CN"/>
              </w:rPr>
              <m:t>E</m:t>
            </m:r>
            <m:ctrlPr>
              <w:rPr>
                <w:rFonts w:ascii="Cambria Math" w:hAnsi="Cambria Math"/>
                <w:lang w:eastAsia="zh-CN"/>
              </w:rPr>
            </m:ctrlPr>
          </m:e>
          <m:sup>
            <m:r>
              <m:rPr/>
              <w:rPr>
                <w:rFonts w:ascii="Cambria Math" w:hAnsi="Cambria Math"/>
                <w:lang w:eastAsia="zh-CN"/>
              </w:rPr>
              <m:t>e</m:t>
            </m:r>
            <m:ctrlPr>
              <w:rPr>
                <w:rFonts w:ascii="Cambria Math" w:hAnsi="Cambria Math"/>
                <w:lang w:eastAsia="zh-CN"/>
              </w:rPr>
            </m:ctrlPr>
          </m:sup>
        </m:sSup>
        <w:commentRangeEnd w:id="1"/>
        <m:r>
          <m:rPr>
            <m:sty m:val="p"/>
          </m:rPr>
          <w:commentReference w:id="1"/>
        </m:r>
      </m:oMath>
      <w:r>
        <w:rPr>
          <w:lang w:eastAsia="zh-CN"/>
        </w:rPr>
        <w:t xml:space="preserve">, which mitigates dominance by any single outlier and enforces a “bottleneck” effect. Based on </w:t>
      </w:r>
      <m:oMath>
        <m:r>
          <m:rPr/>
          <w:rPr>
            <w:rFonts w:ascii="Cambria Math" w:hAnsi="Cambria Math"/>
            <w:lang w:eastAsia="zh-CN"/>
          </w:rPr>
          <m:t>f</m:t>
        </m:r>
      </m:oMath>
      <w:r>
        <w:rPr>
          <w:lang w:eastAsia="zh-CN"/>
        </w:rPr>
        <w:t xml:space="preserve">, </w:t>
      </w:r>
      <w:r>
        <w:rPr>
          <w:rFonts w:hint="default"/>
          <w:lang w:val="en-US" w:eastAsia="zh-CN"/>
        </w:rPr>
        <w:t>consider</w:t>
      </w:r>
      <w:r>
        <w:rPr>
          <w:lang w:eastAsia="zh-CN"/>
        </w:rPr>
        <w:t xml:space="preserve"> grading thresholds (e.g., EEL-0 to EEL-</w:t>
      </w:r>
      <w:r>
        <w:rPr>
          <w:rFonts w:hint="eastAsia"/>
          <w:lang w:eastAsia="zh-CN"/>
        </w:rPr>
        <w:t>2</w:t>
      </w:r>
      <w:r>
        <w:rPr>
          <w:lang w:eastAsia="zh-CN"/>
        </w:rPr>
        <w:t xml:space="preserve">) and conformance rules, with assessments only under strict QoS constraints. The weight vector </w:t>
      </w:r>
      <m:oMath>
        <m:r>
          <m:rPr/>
          <w:rPr>
            <w:rFonts w:ascii="Cambria Math" w:hAnsi="Cambria Math"/>
            <w:lang w:eastAsia="zh-CN"/>
          </w:rPr>
          <m:t>a</m:t>
        </m:r>
        <m:r>
          <m:rPr>
            <m:sty m:val="p"/>
          </m:rPr>
          <w:rPr>
            <w:rFonts w:ascii="Cambria Math" w:hAnsi="Cambria Math"/>
            <w:lang w:eastAsia="zh-CN"/>
          </w:rPr>
          <m:t>...</m:t>
        </m:r>
        <m:r>
          <m:rPr/>
          <w:rPr>
            <w:rFonts w:ascii="Cambria Math" w:hAnsi="Cambria Math"/>
            <w:lang w:eastAsia="zh-CN"/>
          </w:rPr>
          <m:t>e</m:t>
        </m:r>
      </m:oMath>
      <w:r>
        <w:rPr>
          <w:lang w:eastAsia="zh-CN"/>
        </w:rPr>
        <w:t>is configured per slice or scenario to reflect different priorities, ensuring a fair and robust energy efficiency grading system for future networks.</w:t>
      </w:r>
    </w:p>
    <w:p w14:paraId="4922AE01">
      <w:pPr>
        <w:pStyle w:val="5"/>
        <w:rPr>
          <w:rFonts w:hint="default" w:ascii="Times New Roman Bold Italic" w:hAnsi="Times New Roman Bold Italic" w:eastAsia="宋体" w:cs="Times New Roman Bold Italic"/>
          <w:b/>
          <w:bCs/>
          <w:i/>
          <w:iCs/>
          <w:sz w:val="22"/>
          <w:szCs w:val="22"/>
          <w:lang w:val="en-US" w:eastAsia="zh-CN"/>
        </w:rPr>
      </w:pPr>
      <w:r>
        <w:rPr>
          <w:rFonts w:ascii="Times New Roman Bold Italic" w:hAnsi="Times New Roman Bold Italic" w:cs="Times New Roman Bold Italic"/>
          <w:b/>
          <w:bCs/>
          <w:i/>
          <w:iCs/>
          <w:sz w:val="22"/>
          <w:szCs w:val="22"/>
          <w:lang w:eastAsia="zh-CN"/>
        </w:rPr>
        <w:t xml:space="preserve">Observation </w:t>
      </w:r>
      <w:r>
        <w:rPr>
          <w:rFonts w:hint="eastAsia" w:ascii="Times New Roman Bold Italic" w:hAnsi="Times New Roman Bold Italic" w:cs="Times New Roman Bold Italic"/>
          <w:b/>
          <w:bCs/>
          <w:i/>
          <w:iCs/>
          <w:sz w:val="22"/>
          <w:szCs w:val="22"/>
          <w:lang w:eastAsia="zh-CN"/>
        </w:rPr>
        <w:t>7</w:t>
      </w:r>
      <w:r>
        <w:rPr>
          <w:rFonts w:ascii="Times New Roman Bold Italic" w:hAnsi="Times New Roman Bold Italic" w:cs="Times New Roman Bold Italic"/>
          <w:b/>
          <w:bCs/>
          <w:i/>
          <w:iCs/>
          <w:sz w:val="22"/>
          <w:szCs w:val="22"/>
          <w:lang w:eastAsia="zh-CN"/>
        </w:rPr>
        <w:t xml:space="preserve">: </w:t>
      </w:r>
      <w:r>
        <w:rPr>
          <w:rFonts w:hint="default" w:ascii="Times New Roman Bold Italic" w:hAnsi="Times New Roman Bold Italic" w:cs="Times New Roman Bold Italic"/>
          <w:b/>
          <w:bCs/>
          <w:i/>
          <w:iCs/>
          <w:sz w:val="22"/>
          <w:szCs w:val="22"/>
          <w:lang w:val="en-US" w:eastAsia="zh-CN"/>
        </w:rPr>
        <w:t xml:space="preserve">Other metrics related energy efficiency could be used for evaluation, like </w:t>
      </w:r>
      <w:r>
        <w:rPr>
          <w:rFonts w:hint="default" w:ascii="Times New Roman Bold Italic" w:hAnsi="Times New Roman Bold Italic" w:eastAsia="宋体" w:cs="Times New Roman Bold Italic"/>
          <w:b/>
          <w:bCs/>
          <w:i/>
          <w:iCs/>
          <w:sz w:val="22"/>
          <w:szCs w:val="22"/>
          <w:lang w:val="en-US" w:eastAsia="zh-CN"/>
        </w:rPr>
        <w:t>peak energy efficiency ratio, latency energy ratio, coverage energy ratio, idle power ratio and energy power density.</w:t>
      </w:r>
    </w:p>
    <w:p w14:paraId="011F455C">
      <w:pPr>
        <w:pStyle w:val="5"/>
        <w:rPr>
          <w:rFonts w:hint="default" w:ascii="Times New Roman Bold Italic" w:hAnsi="Times New Roman Bold Italic" w:eastAsia="宋体" w:cs="Times New Roman Bold Italic"/>
          <w:b/>
          <w:bCs/>
          <w:i/>
          <w:iCs/>
          <w:sz w:val="22"/>
          <w:szCs w:val="22"/>
          <w:lang w:val="en-US" w:eastAsia="zh-CN"/>
        </w:rPr>
      </w:pPr>
    </w:p>
    <w:p w14:paraId="7A838C7E">
      <w:pPr>
        <w:pStyle w:val="5"/>
        <w:rPr>
          <w:rFonts w:hint="default" w:ascii="Times New Roman Bold Italic" w:hAnsi="Times New Roman Bold Italic" w:eastAsia="宋体" w:cs="Times New Roman Bold Italic"/>
          <w:b/>
          <w:bCs/>
          <w:i/>
          <w:iCs/>
          <w:sz w:val="22"/>
          <w:szCs w:val="22"/>
          <w:lang w:val="en-US" w:eastAsia="zh-CN"/>
        </w:rPr>
      </w:pPr>
      <w:r>
        <w:rPr>
          <w:rFonts w:hint="default" w:ascii="Times New Roman Bold Italic" w:hAnsi="Times New Roman Bold Italic" w:eastAsia="宋体" w:cs="Times New Roman Bold Italic"/>
          <w:b/>
          <w:bCs/>
          <w:i/>
          <w:iCs/>
          <w:sz w:val="22"/>
          <w:szCs w:val="22"/>
          <w:lang w:val="en-US" w:eastAsia="zh-CN"/>
        </w:rPr>
        <w:t>Proposal 5: Consider one unified metrics could be used for 6G EE evaluation by combined with peak energy efficiency ratio, latency energy ratio, coverage energy ratio, idle power ratio and energy power density, which relates to UPT, QoS and latency, etc.</w:t>
      </w:r>
    </w:p>
    <w:p w14:paraId="70D617D5">
      <w:pPr>
        <w:pStyle w:val="5"/>
        <w:rPr>
          <w:rFonts w:hint="default" w:ascii="Times New Roman Bold Italic" w:hAnsi="Times New Roman Bold Italic" w:eastAsia="宋体" w:cs="Times New Roman Bold Italic"/>
          <w:b/>
          <w:bCs/>
          <w:i/>
          <w:iCs/>
          <w:sz w:val="22"/>
          <w:szCs w:val="22"/>
          <w:lang w:val="en-US" w:eastAsia="zh-CN"/>
        </w:rPr>
      </w:pPr>
    </w:p>
    <w:p w14:paraId="75FD8F1E">
      <w:pPr>
        <w:pStyle w:val="5"/>
        <w:rPr>
          <w:rFonts w:hint="default" w:ascii="Times New Roman Bold Italic" w:hAnsi="Times New Roman Bold Italic" w:cs="Times New Roman Bold Italic"/>
          <w:b/>
          <w:bCs/>
          <w:i/>
          <w:iCs/>
          <w:sz w:val="22"/>
          <w:szCs w:val="22"/>
          <w:lang w:val="en-US" w:eastAsia="zh-CN"/>
        </w:rPr>
      </w:pPr>
      <w:r>
        <w:rPr>
          <w:rFonts w:ascii="Times New Roman Bold Italic" w:hAnsi="Times New Roman Bold Italic" w:cs="Times New Roman Bold Italic"/>
          <w:b/>
          <w:bCs/>
          <w:i/>
          <w:iCs/>
          <w:sz w:val="22"/>
          <w:szCs w:val="22"/>
          <w:lang w:eastAsia="zh-CN"/>
        </w:rPr>
        <w:t>Proposal</w:t>
      </w:r>
      <w:r>
        <w:rPr>
          <w:rFonts w:hint="eastAsia" w:ascii="Times New Roman Bold Italic" w:hAnsi="Times New Roman Bold Italic" w:cs="Times New Roman Bold Italic"/>
          <w:b/>
          <w:bCs/>
          <w:i/>
          <w:iCs/>
          <w:sz w:val="22"/>
          <w:szCs w:val="22"/>
          <w:lang w:eastAsia="zh-CN"/>
        </w:rPr>
        <w:t xml:space="preserve"> </w:t>
      </w:r>
      <w:r>
        <w:rPr>
          <w:rFonts w:hint="default" w:ascii="Times New Roman Bold Italic" w:hAnsi="Times New Roman Bold Italic" w:cs="Times New Roman Bold Italic"/>
          <w:b/>
          <w:bCs/>
          <w:i/>
          <w:iCs/>
          <w:sz w:val="22"/>
          <w:szCs w:val="22"/>
          <w:lang w:val="en-US" w:eastAsia="zh-CN"/>
        </w:rPr>
        <w:t>6</w:t>
      </w:r>
      <w:r>
        <w:rPr>
          <w:rFonts w:ascii="Times New Roman Bold Italic" w:hAnsi="Times New Roman Bold Italic" w:cs="Times New Roman Bold Italic"/>
          <w:b/>
          <w:bCs/>
          <w:i/>
          <w:iCs/>
          <w:sz w:val="22"/>
          <w:szCs w:val="22"/>
          <w:lang w:eastAsia="zh-CN"/>
        </w:rPr>
        <w:t xml:space="preserve">: </w:t>
      </w:r>
      <w:bookmarkStart w:id="10" w:name="OLE_LINK21"/>
      <w:r>
        <w:rPr>
          <w:rFonts w:hint="default" w:ascii="Times New Roman Bold Italic" w:hAnsi="Times New Roman Bold Italic" w:cs="Times New Roman Bold Italic"/>
          <w:b/>
          <w:bCs/>
          <w:i/>
          <w:iCs/>
          <w:sz w:val="22"/>
          <w:szCs w:val="22"/>
          <w:lang w:val="en-US" w:eastAsia="zh-CN"/>
        </w:rPr>
        <w:t>For evaluation or study</w:t>
      </w:r>
      <w:r>
        <w:rPr>
          <w:rFonts w:hint="eastAsia" w:ascii="Times New Roman Bold Italic" w:hAnsi="Times New Roman Bold Italic" w:cs="Times New Roman Bold Italic"/>
          <w:b/>
          <w:bCs/>
          <w:i/>
          <w:iCs/>
          <w:sz w:val="22"/>
          <w:szCs w:val="22"/>
          <w:lang w:val="en-US" w:eastAsia="zh-CN"/>
        </w:rPr>
        <w:t xml:space="preserve"> target</w:t>
      </w:r>
      <w:r>
        <w:rPr>
          <w:rFonts w:hint="default" w:ascii="Times New Roman Bold Italic" w:hAnsi="Times New Roman Bold Italic" w:cs="Times New Roman Bold Italic"/>
          <w:b/>
          <w:bCs/>
          <w:i/>
          <w:iCs/>
          <w:sz w:val="22"/>
          <w:szCs w:val="22"/>
          <w:lang w:val="en-US" w:eastAsia="zh-CN"/>
        </w:rPr>
        <w:t>, consider whether/how to introduce unified metrics like energy efficiency level (EEL) to define NW/U</w:t>
      </w:r>
      <w:r>
        <w:rPr>
          <w:rFonts w:hint="eastAsia" w:ascii="Times New Roman Bold Italic" w:hAnsi="Times New Roman Bold Italic" w:cs="Times New Roman Bold Italic"/>
          <w:b/>
          <w:bCs/>
          <w:i/>
          <w:iCs/>
          <w:sz w:val="22"/>
          <w:szCs w:val="22"/>
          <w:lang w:val="en-US" w:eastAsia="zh-CN"/>
        </w:rPr>
        <w:t>E</w:t>
      </w:r>
      <w:r>
        <w:rPr>
          <w:rFonts w:hint="default" w:ascii="Times New Roman Bold Italic" w:hAnsi="Times New Roman Bold Italic" w:cs="Times New Roman Bold Italic"/>
          <w:b/>
          <w:bCs/>
          <w:i/>
          <w:iCs/>
          <w:sz w:val="22"/>
          <w:szCs w:val="22"/>
          <w:lang w:val="en-US" w:eastAsia="zh-CN"/>
        </w:rPr>
        <w:t xml:space="preserve"> or joint NW and UE power consumption.</w:t>
      </w:r>
    </w:p>
    <w:bookmarkEnd w:id="10"/>
    <w:p w14:paraId="29136FAF">
      <w:pPr>
        <w:pStyle w:val="5"/>
        <w:rPr>
          <w:lang w:eastAsia="zh-CN"/>
        </w:rPr>
      </w:pPr>
    </w:p>
    <w:p w14:paraId="5E76C508">
      <w:pPr>
        <w:pBdr>
          <w:bottom w:val="single" w:color="auto" w:sz="4" w:space="1"/>
        </w:pBdr>
        <w:spacing w:after="0"/>
        <w:jc w:val="left"/>
        <w:rPr>
          <w:b/>
          <w:kern w:val="2"/>
          <w:sz w:val="16"/>
          <w:szCs w:val="16"/>
          <w:lang w:eastAsia="zh-CN"/>
        </w:rPr>
      </w:pPr>
    </w:p>
    <w:p w14:paraId="03C8461E">
      <w:pPr>
        <w:pStyle w:val="2"/>
        <w:numPr>
          <w:ilvl w:val="0"/>
          <w:numId w:val="0"/>
        </w:numPr>
        <w:ind w:leftChars="0"/>
        <w:rPr>
          <w:lang w:eastAsia="zh-CN"/>
        </w:rPr>
      </w:pPr>
      <w:r>
        <w:rPr>
          <w:rFonts w:hint="default"/>
          <w:szCs w:val="24"/>
          <w:lang w:val="en-US" w:eastAsia="zh-CN"/>
        </w:rPr>
        <w:t>4</w:t>
      </w:r>
      <w:r>
        <w:rPr>
          <w:szCs w:val="24"/>
          <w:lang w:eastAsia="zh-CN"/>
        </w:rPr>
        <w:t xml:space="preserve"> </w:t>
      </w:r>
      <w:r>
        <w:rPr>
          <w:rFonts w:hint="eastAsia"/>
          <w:szCs w:val="24"/>
          <w:lang w:eastAsia="zh-CN"/>
        </w:rPr>
        <w:t>R</w:t>
      </w:r>
      <w:r>
        <w:rPr>
          <w:szCs w:val="24"/>
        </w:rPr>
        <w:t xml:space="preserve">eference configurations and power model(s) for 6G </w:t>
      </w:r>
      <w:r>
        <w:rPr>
          <w:rFonts w:hint="eastAsia"/>
          <w:szCs w:val="24"/>
          <w:lang w:eastAsia="zh-CN"/>
        </w:rPr>
        <w:t>BS or UE</w:t>
      </w:r>
    </w:p>
    <w:p w14:paraId="4F812B2D">
      <w:pPr>
        <w:pStyle w:val="3"/>
        <w:numPr>
          <w:ilvl w:val="1"/>
          <w:numId w:val="0"/>
        </w:numPr>
        <w:tabs>
          <w:tab w:val="clear" w:pos="576"/>
        </w:tabs>
        <w:ind w:leftChars="0"/>
        <w:rPr>
          <w:lang w:eastAsia="zh-CN"/>
        </w:rPr>
      </w:pPr>
      <w:r>
        <w:rPr>
          <w:rFonts w:hint="default"/>
          <w:lang w:val="en-US" w:eastAsia="zh-CN"/>
        </w:rPr>
        <w:t>4</w:t>
      </w:r>
      <w:r>
        <w:rPr>
          <w:rFonts w:hint="eastAsia"/>
          <w:lang w:val="en-US" w:eastAsia="zh-CN"/>
        </w:rPr>
        <w:t>.1</w:t>
      </w:r>
      <w:r>
        <w:rPr>
          <w:lang w:eastAsia="zh-CN"/>
        </w:rPr>
        <w:t xml:space="preserve"> </w:t>
      </w:r>
      <w:r>
        <w:rPr>
          <w:szCs w:val="24"/>
        </w:rPr>
        <w:t xml:space="preserve">6G </w:t>
      </w:r>
      <w:r>
        <w:rPr>
          <w:rFonts w:hint="eastAsia"/>
          <w:szCs w:val="24"/>
          <w:lang w:eastAsia="zh-CN"/>
        </w:rPr>
        <w:t>BS considerations</w:t>
      </w:r>
    </w:p>
    <w:p w14:paraId="4AD2C584">
      <w:r>
        <w:rPr>
          <w:rFonts w:hint="eastAsia"/>
          <w:lang w:val="en-US" w:eastAsia="zh-CN"/>
        </w:rPr>
        <w:t>In</w:t>
      </w:r>
      <w:r>
        <w:rPr>
          <w:rFonts w:hint="default"/>
          <w:lang w:val="en-US" w:eastAsia="zh-CN"/>
        </w:rPr>
        <w:t xml:space="preserve"> last meeting, one agreement has been discussed for further study or evaluation.</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77A8AC0E">
        <w:tc>
          <w:tcPr>
            <w:tcW w:w="9307" w:type="dxa"/>
          </w:tcPr>
          <w:p w14:paraId="1411371D">
            <w:pPr>
              <w:widowControl w:val="0"/>
              <w:rPr>
                <w:rFonts w:eastAsiaTheme="minorEastAsia"/>
                <w:highlight w:val="green"/>
                <w:lang w:val="en-US" w:eastAsia="zh-CN"/>
              </w:rPr>
            </w:pPr>
            <w:r>
              <w:rPr>
                <w:rFonts w:hint="eastAsia" w:eastAsiaTheme="minorEastAsia"/>
                <w:highlight w:val="green"/>
                <w:lang w:val="en-US" w:eastAsia="zh-CN"/>
              </w:rPr>
              <w:t>Agreement</w:t>
            </w:r>
          </w:p>
          <w:p w14:paraId="3807FAE2">
            <w:pPr>
              <w:widowControl w:val="0"/>
              <w:spacing w:line="256" w:lineRule="auto"/>
              <w:rPr>
                <w:rFonts w:eastAsia="Calibri" w:cs="Arial"/>
                <w:lang w:val="en-US"/>
              </w:rPr>
            </w:pPr>
            <w:r>
              <w:rPr>
                <w:rFonts w:eastAsia="Calibri" w:cs="Arial"/>
                <w:lang w:val="en-US"/>
              </w:rPr>
              <w:t>For evaluation purposes, expand the existing BS power model reference configuration with a set for ~7 GHz operation with the following parameters:</w:t>
            </w:r>
          </w:p>
          <w:tbl>
            <w:tblPr>
              <w:tblStyle w:val="27"/>
              <w:tblW w:w="4215" w:type="dxa"/>
              <w:jc w:val="center"/>
              <w:tblLayout w:type="autofit"/>
              <w:tblCellMar>
                <w:top w:w="0" w:type="dxa"/>
                <w:left w:w="108" w:type="dxa"/>
                <w:bottom w:w="0" w:type="dxa"/>
                <w:right w:w="108" w:type="dxa"/>
              </w:tblCellMar>
            </w:tblPr>
            <w:tblGrid>
              <w:gridCol w:w="2130"/>
              <w:gridCol w:w="2085"/>
            </w:tblGrid>
            <w:tr w14:paraId="7E96C818">
              <w:trPr>
                <w:jc w:val="center"/>
              </w:trPr>
              <w:tc>
                <w:tcPr>
                  <w:tcW w:w="2130" w:type="dxa"/>
                  <w:tcBorders>
                    <w:top w:val="single" w:color="000000" w:sz="8" w:space="0"/>
                    <w:left w:val="single" w:color="000000" w:sz="8" w:space="0"/>
                    <w:bottom w:val="single" w:color="000000" w:sz="8" w:space="0"/>
                    <w:right w:val="single" w:color="000000" w:sz="8" w:space="0"/>
                  </w:tcBorders>
                </w:tcPr>
                <w:p w14:paraId="253089F1">
                  <w:pPr>
                    <w:keepNext/>
                    <w:keepLines/>
                    <w:widowControl w:val="0"/>
                    <w:tabs>
                      <w:tab w:val="left" w:pos="720"/>
                    </w:tabs>
                    <w:spacing w:line="256" w:lineRule="auto"/>
                    <w:rPr>
                      <w:rFonts w:cs="Arial" w:eastAsiaTheme="minorEastAsia"/>
                      <w:sz w:val="18"/>
                      <w:szCs w:val="20"/>
                      <w:lang w:val="en-US" w:eastAsia="zh-CN"/>
                    </w:rPr>
                  </w:pPr>
                  <w:r>
                    <w:rPr>
                      <w:rFonts w:eastAsia="PMingLiU" w:cs="Arial"/>
                      <w:sz w:val="18"/>
                      <w:szCs w:val="20"/>
                      <w:lang w:val="en-US"/>
                    </w:rPr>
                    <w:t>Property</w:t>
                  </w:r>
                </w:p>
              </w:tc>
              <w:tc>
                <w:tcPr>
                  <w:tcW w:w="2085" w:type="dxa"/>
                  <w:tcBorders>
                    <w:top w:val="single" w:color="000000" w:sz="8" w:space="0"/>
                    <w:left w:val="nil"/>
                    <w:bottom w:val="single" w:color="000000" w:sz="8" w:space="0"/>
                    <w:right w:val="single" w:color="000000" w:sz="8" w:space="0"/>
                  </w:tcBorders>
                  <w:tcMar>
                    <w:top w:w="0" w:type="dxa"/>
                    <w:left w:w="10" w:type="dxa"/>
                    <w:bottom w:w="0" w:type="dxa"/>
                    <w:right w:w="10" w:type="dxa"/>
                  </w:tcMar>
                </w:tcPr>
                <w:p w14:paraId="5228B439">
                  <w:pPr>
                    <w:keepNext/>
                    <w:keepLines/>
                    <w:widowControl w:val="0"/>
                    <w:tabs>
                      <w:tab w:val="left" w:pos="720"/>
                    </w:tabs>
                    <w:spacing w:line="256" w:lineRule="auto"/>
                    <w:rPr>
                      <w:rFonts w:eastAsia="PMingLiU" w:cs="Arial"/>
                      <w:sz w:val="18"/>
                      <w:szCs w:val="20"/>
                      <w:lang w:val="en-US" w:eastAsia="zh-CN"/>
                    </w:rPr>
                  </w:pPr>
                  <w:r>
                    <w:rPr>
                      <w:rFonts w:cs="Arial" w:eastAsiaTheme="minorEastAsia"/>
                      <w:sz w:val="18"/>
                      <w:szCs w:val="20"/>
                      <w:lang w:val="en-US" w:eastAsia="zh-CN"/>
                    </w:rPr>
                    <w:t>C</w:t>
                  </w:r>
                  <w:r>
                    <w:rPr>
                      <w:rFonts w:hint="eastAsia" w:cs="Arial" w:eastAsiaTheme="minorEastAsia"/>
                      <w:sz w:val="18"/>
                      <w:szCs w:val="20"/>
                      <w:lang w:val="en-US" w:eastAsia="zh-CN"/>
                    </w:rPr>
                    <w:t xml:space="preserve">onfiguration for </w:t>
                  </w:r>
                  <w:r>
                    <w:rPr>
                      <w:rFonts w:hint="eastAsia" w:eastAsia="PMingLiU" w:cs="Arial"/>
                      <w:sz w:val="18"/>
                      <w:szCs w:val="20"/>
                      <w:lang w:val="en-US" w:eastAsia="zh-CN"/>
                    </w:rPr>
                    <w:t>Set 4 around 7 GHz</w:t>
                  </w:r>
                </w:p>
              </w:tc>
            </w:tr>
            <w:tr w14:paraId="6366A531">
              <w:trPr>
                <w:jc w:val="center"/>
              </w:trPr>
              <w:tc>
                <w:tcPr>
                  <w:tcW w:w="2130" w:type="dxa"/>
                  <w:tcBorders>
                    <w:top w:val="nil"/>
                    <w:left w:val="single" w:color="000000" w:sz="8" w:space="0"/>
                    <w:bottom w:val="single" w:color="000000" w:sz="8" w:space="0"/>
                    <w:right w:val="single" w:color="000000" w:sz="8" w:space="0"/>
                  </w:tcBorders>
                </w:tcPr>
                <w:p w14:paraId="7987354E">
                  <w:pPr>
                    <w:keepNext/>
                    <w:keepLines/>
                    <w:widowControl w:val="0"/>
                    <w:spacing w:line="256" w:lineRule="auto"/>
                    <w:rPr>
                      <w:rFonts w:eastAsia="PMingLiU" w:cs="Arial"/>
                      <w:sz w:val="18"/>
                      <w:szCs w:val="20"/>
                      <w:lang w:val="zh-CN" w:eastAsia="zh-CN"/>
                    </w:rPr>
                  </w:pPr>
                  <w:r>
                    <w:rPr>
                      <w:rFonts w:hint="eastAsia" w:eastAsia="PMingLiU" w:cs="Arial"/>
                      <w:sz w:val="18"/>
                      <w:szCs w:val="20"/>
                      <w:lang w:val="zh-CN" w:eastAsia="zh-CN"/>
                    </w:rPr>
                    <w:t>Duplex</w:t>
                  </w:r>
                </w:p>
              </w:tc>
              <w:tc>
                <w:tcPr>
                  <w:tcW w:w="2085" w:type="dxa"/>
                  <w:tcBorders>
                    <w:top w:val="nil"/>
                    <w:left w:val="nil"/>
                    <w:bottom w:val="single" w:color="000000" w:sz="8" w:space="0"/>
                    <w:right w:val="single" w:color="000000" w:sz="8" w:space="0"/>
                  </w:tcBorders>
                  <w:tcMar>
                    <w:top w:w="0" w:type="dxa"/>
                    <w:left w:w="10" w:type="dxa"/>
                    <w:bottom w:w="0" w:type="dxa"/>
                    <w:right w:w="10" w:type="dxa"/>
                  </w:tcMar>
                </w:tcPr>
                <w:p w14:paraId="5314E373">
                  <w:pPr>
                    <w:keepNext/>
                    <w:keepLines/>
                    <w:widowControl w:val="0"/>
                    <w:spacing w:line="256" w:lineRule="auto"/>
                    <w:rPr>
                      <w:rFonts w:eastAsia="PMingLiU" w:cs="Arial"/>
                      <w:sz w:val="18"/>
                      <w:szCs w:val="20"/>
                      <w:lang w:val="zh-CN" w:eastAsia="zh-CN"/>
                    </w:rPr>
                  </w:pPr>
                  <w:r>
                    <w:rPr>
                      <w:rFonts w:hint="eastAsia" w:eastAsia="PMingLiU" w:cs="Arial"/>
                      <w:sz w:val="18"/>
                      <w:szCs w:val="20"/>
                      <w:lang w:val="zh-CN" w:eastAsia="zh-CN"/>
                    </w:rPr>
                    <w:t>TDD</w:t>
                  </w:r>
                </w:p>
              </w:tc>
            </w:tr>
            <w:tr w14:paraId="6D0A2D44">
              <w:trPr>
                <w:jc w:val="center"/>
              </w:trPr>
              <w:tc>
                <w:tcPr>
                  <w:tcW w:w="2130" w:type="dxa"/>
                  <w:tcBorders>
                    <w:top w:val="nil"/>
                    <w:left w:val="single" w:color="000000" w:sz="8" w:space="0"/>
                    <w:bottom w:val="single" w:color="000000" w:sz="8" w:space="0"/>
                    <w:right w:val="single" w:color="000000" w:sz="8" w:space="0"/>
                  </w:tcBorders>
                </w:tcPr>
                <w:p w14:paraId="73DC30A6">
                  <w:pPr>
                    <w:keepNext/>
                    <w:keepLines/>
                    <w:widowControl w:val="0"/>
                    <w:spacing w:line="256" w:lineRule="auto"/>
                    <w:rPr>
                      <w:rFonts w:eastAsia="PMingLiU" w:cs="Arial"/>
                      <w:sz w:val="18"/>
                      <w:szCs w:val="20"/>
                      <w:lang w:val="zh-CN" w:eastAsia="zh-CN"/>
                    </w:rPr>
                  </w:pPr>
                  <w:r>
                    <w:rPr>
                      <w:rFonts w:hint="eastAsia" w:eastAsia="PMingLiU" w:cs="Arial"/>
                      <w:sz w:val="18"/>
                      <w:szCs w:val="20"/>
                      <w:lang w:val="zh-CN" w:eastAsia="zh-CN"/>
                    </w:rPr>
                    <w:t>BW</w:t>
                  </w:r>
                </w:p>
              </w:tc>
              <w:tc>
                <w:tcPr>
                  <w:tcW w:w="2085" w:type="dxa"/>
                  <w:tcBorders>
                    <w:top w:val="nil"/>
                    <w:left w:val="nil"/>
                    <w:bottom w:val="single" w:color="000000" w:sz="8" w:space="0"/>
                    <w:right w:val="single" w:color="000000" w:sz="8" w:space="0"/>
                  </w:tcBorders>
                  <w:tcMar>
                    <w:top w:w="0" w:type="dxa"/>
                    <w:left w:w="10" w:type="dxa"/>
                    <w:bottom w:w="0" w:type="dxa"/>
                    <w:right w:w="10" w:type="dxa"/>
                  </w:tcMar>
                </w:tcPr>
                <w:p w14:paraId="61434710">
                  <w:pPr>
                    <w:keepNext/>
                    <w:keepLines/>
                    <w:widowControl w:val="0"/>
                    <w:spacing w:line="256" w:lineRule="auto"/>
                    <w:rPr>
                      <w:rFonts w:eastAsia="PMingLiU" w:cs="Arial"/>
                      <w:sz w:val="18"/>
                      <w:szCs w:val="20"/>
                      <w:lang w:val="en-US" w:eastAsia="zh-CN"/>
                    </w:rPr>
                  </w:pPr>
                  <w:r>
                    <w:rPr>
                      <w:rFonts w:eastAsia="PMingLiU" w:cs="Arial"/>
                      <w:sz w:val="18"/>
                      <w:szCs w:val="20"/>
                      <w:lang w:val="en-US"/>
                    </w:rPr>
                    <w:t>[</w:t>
                  </w:r>
                  <w:r>
                    <w:rPr>
                      <w:rFonts w:hint="eastAsia" w:eastAsia="PMingLiU" w:cs="Arial"/>
                      <w:sz w:val="18"/>
                      <w:szCs w:val="20"/>
                      <w:lang w:val="zh-CN" w:eastAsia="zh-CN"/>
                    </w:rPr>
                    <w:t>1</w:t>
                  </w:r>
                  <w:r>
                    <w:rPr>
                      <w:rFonts w:eastAsia="PMingLiU" w:cs="Arial"/>
                      <w:sz w:val="18"/>
                      <w:szCs w:val="20"/>
                      <w:lang w:val="en-US"/>
                    </w:rPr>
                    <w:t>0</w:t>
                  </w:r>
                  <w:r>
                    <w:rPr>
                      <w:rFonts w:hint="eastAsia" w:eastAsia="PMingLiU" w:cs="Arial"/>
                      <w:sz w:val="18"/>
                      <w:szCs w:val="20"/>
                      <w:lang w:val="zh-CN" w:eastAsia="zh-CN"/>
                    </w:rPr>
                    <w:t>0</w:t>
                  </w:r>
                  <w:r>
                    <w:rPr>
                      <w:rFonts w:eastAsia="PMingLiU" w:cs="Arial"/>
                      <w:sz w:val="18"/>
                      <w:szCs w:val="20"/>
                      <w:lang w:val="en-US"/>
                    </w:rPr>
                    <w:t>, 200, 400]</w:t>
                  </w:r>
                  <w:r>
                    <w:rPr>
                      <w:rFonts w:hint="eastAsia" w:eastAsia="PMingLiU" w:cs="Arial"/>
                      <w:sz w:val="18"/>
                      <w:szCs w:val="20"/>
                      <w:lang w:val="zh-CN" w:eastAsia="zh-CN"/>
                    </w:rPr>
                    <w:t xml:space="preserve"> MHz </w:t>
                  </w:r>
                </w:p>
              </w:tc>
            </w:tr>
            <w:tr w14:paraId="5F0FA68A">
              <w:trPr>
                <w:jc w:val="center"/>
              </w:trPr>
              <w:tc>
                <w:tcPr>
                  <w:tcW w:w="2130" w:type="dxa"/>
                  <w:tcBorders>
                    <w:top w:val="nil"/>
                    <w:left w:val="single" w:color="000000" w:sz="8" w:space="0"/>
                    <w:bottom w:val="single" w:color="000000" w:sz="8" w:space="0"/>
                    <w:right w:val="single" w:color="000000" w:sz="8" w:space="0"/>
                  </w:tcBorders>
                </w:tcPr>
                <w:p w14:paraId="3A777E98">
                  <w:pPr>
                    <w:keepNext/>
                    <w:keepLines/>
                    <w:widowControl w:val="0"/>
                    <w:spacing w:line="256" w:lineRule="auto"/>
                    <w:rPr>
                      <w:rFonts w:eastAsia="PMingLiU" w:cs="Arial"/>
                      <w:sz w:val="18"/>
                      <w:szCs w:val="20"/>
                      <w:lang w:val="zh-CN" w:eastAsia="zh-CN"/>
                    </w:rPr>
                  </w:pPr>
                  <w:r>
                    <w:rPr>
                      <w:rFonts w:hint="eastAsia" w:eastAsia="PMingLiU" w:cs="Arial"/>
                      <w:sz w:val="18"/>
                      <w:szCs w:val="20"/>
                      <w:lang w:val="zh-CN" w:eastAsia="zh-CN"/>
                    </w:rPr>
                    <w:t>SCS</w:t>
                  </w:r>
                </w:p>
              </w:tc>
              <w:tc>
                <w:tcPr>
                  <w:tcW w:w="2085" w:type="dxa"/>
                  <w:tcBorders>
                    <w:top w:val="nil"/>
                    <w:left w:val="nil"/>
                    <w:bottom w:val="single" w:color="000000" w:sz="8" w:space="0"/>
                    <w:right w:val="single" w:color="000000" w:sz="8" w:space="0"/>
                  </w:tcBorders>
                  <w:tcMar>
                    <w:top w:w="0" w:type="dxa"/>
                    <w:left w:w="10" w:type="dxa"/>
                    <w:bottom w:w="0" w:type="dxa"/>
                    <w:right w:w="10" w:type="dxa"/>
                  </w:tcMar>
                </w:tcPr>
                <w:p w14:paraId="15404E7C">
                  <w:pPr>
                    <w:keepNext/>
                    <w:keepLines/>
                    <w:widowControl w:val="0"/>
                    <w:spacing w:line="256" w:lineRule="auto"/>
                    <w:rPr>
                      <w:rFonts w:eastAsia="PMingLiU" w:cs="Arial"/>
                      <w:sz w:val="18"/>
                      <w:szCs w:val="20"/>
                      <w:lang w:val="en-US" w:eastAsia="zh-CN"/>
                    </w:rPr>
                  </w:pPr>
                  <w:r>
                    <w:rPr>
                      <w:rFonts w:eastAsia="PMingLiU" w:cs="Arial"/>
                      <w:sz w:val="18"/>
                      <w:szCs w:val="20"/>
                      <w:lang w:val="en-US" w:eastAsia="zh-CN"/>
                    </w:rPr>
                    <w:t>[</w:t>
                  </w:r>
                  <w:r>
                    <w:rPr>
                      <w:rFonts w:hint="eastAsia" w:eastAsia="PMingLiU" w:cs="Arial"/>
                      <w:sz w:val="18"/>
                      <w:szCs w:val="20"/>
                      <w:lang w:val="zh-CN" w:eastAsia="zh-CN"/>
                    </w:rPr>
                    <w:t>30 kHz</w:t>
                  </w:r>
                  <w:r>
                    <w:rPr>
                      <w:rFonts w:eastAsia="PMingLiU" w:cs="Arial"/>
                      <w:sz w:val="18"/>
                      <w:szCs w:val="20"/>
                      <w:lang w:val="en-US" w:eastAsia="zh-CN"/>
                    </w:rPr>
                    <w:t>, 60 kHz]</w:t>
                  </w:r>
                </w:p>
              </w:tc>
            </w:tr>
            <w:tr w14:paraId="36AB89EA">
              <w:trPr>
                <w:jc w:val="center"/>
              </w:trPr>
              <w:tc>
                <w:tcPr>
                  <w:tcW w:w="2130" w:type="dxa"/>
                  <w:tcBorders>
                    <w:top w:val="nil"/>
                    <w:left w:val="single" w:color="000000" w:sz="8" w:space="0"/>
                    <w:bottom w:val="single" w:color="000000" w:sz="8" w:space="0"/>
                    <w:right w:val="single" w:color="000000" w:sz="8" w:space="0"/>
                  </w:tcBorders>
                </w:tcPr>
                <w:p w14:paraId="7674DE83">
                  <w:pPr>
                    <w:keepNext/>
                    <w:keepLines/>
                    <w:widowControl w:val="0"/>
                    <w:spacing w:line="256" w:lineRule="auto"/>
                    <w:rPr>
                      <w:rFonts w:eastAsia="PMingLiU" w:cs="Arial"/>
                      <w:sz w:val="18"/>
                      <w:szCs w:val="20"/>
                      <w:lang w:val="zh-CN" w:eastAsia="zh-CN"/>
                    </w:rPr>
                  </w:pPr>
                  <w:r>
                    <w:rPr>
                      <w:rFonts w:hint="eastAsia" w:eastAsia="PMingLiU" w:cs="Arial"/>
                      <w:sz w:val="18"/>
                      <w:szCs w:val="20"/>
                      <w:lang w:val="zh-CN" w:eastAsia="zh-CN"/>
                    </w:rPr>
                    <w:t>Number of TRP</w:t>
                  </w:r>
                </w:p>
              </w:tc>
              <w:tc>
                <w:tcPr>
                  <w:tcW w:w="2085" w:type="dxa"/>
                  <w:tcBorders>
                    <w:top w:val="nil"/>
                    <w:left w:val="nil"/>
                    <w:bottom w:val="single" w:color="000000" w:sz="8" w:space="0"/>
                    <w:right w:val="single" w:color="000000" w:sz="8" w:space="0"/>
                  </w:tcBorders>
                  <w:tcMar>
                    <w:top w:w="0" w:type="dxa"/>
                    <w:left w:w="10" w:type="dxa"/>
                    <w:bottom w:w="0" w:type="dxa"/>
                    <w:right w:w="10" w:type="dxa"/>
                  </w:tcMar>
                </w:tcPr>
                <w:p w14:paraId="7C893462">
                  <w:pPr>
                    <w:keepNext/>
                    <w:keepLines/>
                    <w:widowControl w:val="0"/>
                    <w:spacing w:line="256" w:lineRule="auto"/>
                    <w:rPr>
                      <w:rFonts w:eastAsia="PMingLiU" w:cs="Arial"/>
                      <w:sz w:val="18"/>
                      <w:szCs w:val="20"/>
                      <w:lang w:val="zh-CN" w:eastAsia="zh-CN"/>
                    </w:rPr>
                  </w:pPr>
                  <w:r>
                    <w:rPr>
                      <w:rFonts w:hint="eastAsia" w:eastAsia="PMingLiU" w:cs="Arial"/>
                      <w:sz w:val="18"/>
                      <w:szCs w:val="20"/>
                      <w:lang w:val="zh-CN" w:eastAsia="zh-CN"/>
                    </w:rPr>
                    <w:t>1</w:t>
                  </w:r>
                </w:p>
              </w:tc>
            </w:tr>
            <w:tr w14:paraId="28B71DE7">
              <w:trPr>
                <w:jc w:val="center"/>
              </w:trPr>
              <w:tc>
                <w:tcPr>
                  <w:tcW w:w="2130" w:type="dxa"/>
                  <w:tcBorders>
                    <w:top w:val="nil"/>
                    <w:left w:val="single" w:color="000000" w:sz="8" w:space="0"/>
                    <w:bottom w:val="single" w:color="000000" w:sz="8" w:space="0"/>
                    <w:right w:val="single" w:color="000000" w:sz="8" w:space="0"/>
                  </w:tcBorders>
                </w:tcPr>
                <w:p w14:paraId="6DD6A8A7">
                  <w:pPr>
                    <w:keepNext/>
                    <w:keepLines/>
                    <w:widowControl w:val="0"/>
                    <w:spacing w:line="256" w:lineRule="auto"/>
                    <w:rPr>
                      <w:rFonts w:eastAsia="PMingLiU" w:cs="Arial"/>
                      <w:sz w:val="18"/>
                      <w:szCs w:val="20"/>
                      <w:lang w:val="en-US"/>
                    </w:rPr>
                  </w:pPr>
                  <w:r>
                    <w:rPr>
                      <w:rFonts w:eastAsia="PMingLiU" w:cs="Arial"/>
                      <w:sz w:val="18"/>
                      <w:szCs w:val="20"/>
                      <w:lang w:val="en-US"/>
                    </w:rPr>
                    <w:t>Total number of DL TX RU</w:t>
                  </w:r>
                  <w:r>
                    <w:rPr>
                      <w:rFonts w:eastAsia="PMingLiU" w:cs="Arial"/>
                      <w:sz w:val="14"/>
                      <w:szCs w:val="20"/>
                      <w:lang w:val="en-US"/>
                    </w:rPr>
                    <w:t>s</w:t>
                  </w:r>
                </w:p>
              </w:tc>
              <w:tc>
                <w:tcPr>
                  <w:tcW w:w="2085" w:type="dxa"/>
                  <w:tcBorders>
                    <w:top w:val="nil"/>
                    <w:left w:val="nil"/>
                    <w:bottom w:val="single" w:color="000000" w:sz="8" w:space="0"/>
                    <w:right w:val="single" w:color="000000" w:sz="8" w:space="0"/>
                  </w:tcBorders>
                  <w:tcMar>
                    <w:top w:w="0" w:type="dxa"/>
                    <w:left w:w="10" w:type="dxa"/>
                    <w:bottom w:w="0" w:type="dxa"/>
                    <w:right w:w="10" w:type="dxa"/>
                  </w:tcMar>
                </w:tcPr>
                <w:p w14:paraId="5F10F5EB">
                  <w:pPr>
                    <w:keepNext/>
                    <w:keepLines/>
                    <w:widowControl w:val="0"/>
                    <w:spacing w:line="256" w:lineRule="auto"/>
                    <w:rPr>
                      <w:rFonts w:eastAsia="PMingLiU" w:cs="Arial"/>
                      <w:sz w:val="18"/>
                      <w:szCs w:val="20"/>
                      <w:lang w:val="en-US"/>
                    </w:rPr>
                  </w:pPr>
                  <w:r>
                    <w:rPr>
                      <w:rFonts w:eastAsia="PMingLiU" w:cs="Arial"/>
                      <w:sz w:val="18"/>
                      <w:szCs w:val="20"/>
                      <w:lang w:val="en-US"/>
                    </w:rPr>
                    <w:t>[</w:t>
                  </w:r>
                  <w:r>
                    <w:rPr>
                      <w:rFonts w:hint="eastAsia" w:eastAsia="PMingLiU" w:cs="Arial"/>
                      <w:sz w:val="18"/>
                      <w:szCs w:val="20"/>
                      <w:lang w:val="zh-CN" w:eastAsia="zh-CN"/>
                    </w:rPr>
                    <w:t>1</w:t>
                  </w:r>
                  <w:r>
                    <w:rPr>
                      <w:rFonts w:eastAsia="PMingLiU" w:cs="Arial"/>
                      <w:sz w:val="18"/>
                      <w:szCs w:val="20"/>
                      <w:lang w:val="en-US"/>
                    </w:rPr>
                    <w:t>28, 256]</w:t>
                  </w:r>
                </w:p>
              </w:tc>
            </w:tr>
            <w:tr w14:paraId="34FDA64A">
              <w:trPr>
                <w:jc w:val="center"/>
              </w:trPr>
              <w:tc>
                <w:tcPr>
                  <w:tcW w:w="2130" w:type="dxa"/>
                  <w:tcBorders>
                    <w:top w:val="nil"/>
                    <w:left w:val="single" w:color="000000" w:sz="8" w:space="0"/>
                    <w:bottom w:val="single" w:color="000000" w:sz="8" w:space="0"/>
                    <w:right w:val="single" w:color="000000" w:sz="8" w:space="0"/>
                  </w:tcBorders>
                </w:tcPr>
                <w:p w14:paraId="1402DF1E">
                  <w:pPr>
                    <w:keepNext/>
                    <w:keepLines/>
                    <w:widowControl w:val="0"/>
                    <w:spacing w:line="256" w:lineRule="auto"/>
                    <w:rPr>
                      <w:rFonts w:eastAsia="PMingLiU" w:cs="Arial"/>
                      <w:sz w:val="18"/>
                      <w:szCs w:val="20"/>
                      <w:lang w:val="zh-CN" w:eastAsia="zh-CN"/>
                    </w:rPr>
                  </w:pPr>
                  <w:r>
                    <w:rPr>
                      <w:rFonts w:hint="eastAsia" w:eastAsia="PMingLiU" w:cs="Arial"/>
                      <w:sz w:val="18"/>
                      <w:szCs w:val="20"/>
                      <w:lang w:val="zh-CN" w:eastAsia="zh-CN"/>
                    </w:rPr>
                    <w:t>Total DL power level</w:t>
                  </w:r>
                </w:p>
              </w:tc>
              <w:tc>
                <w:tcPr>
                  <w:tcW w:w="2085" w:type="dxa"/>
                  <w:tcBorders>
                    <w:top w:val="nil"/>
                    <w:left w:val="nil"/>
                    <w:bottom w:val="single" w:color="000000" w:sz="8" w:space="0"/>
                    <w:right w:val="single" w:color="000000" w:sz="8" w:space="0"/>
                  </w:tcBorders>
                  <w:tcMar>
                    <w:top w:w="0" w:type="dxa"/>
                    <w:left w:w="10" w:type="dxa"/>
                    <w:bottom w:w="0" w:type="dxa"/>
                    <w:right w:w="10" w:type="dxa"/>
                  </w:tcMar>
                </w:tcPr>
                <w:p w14:paraId="4D363E37">
                  <w:pPr>
                    <w:keepNext/>
                    <w:keepLines/>
                    <w:widowControl w:val="0"/>
                    <w:spacing w:line="256" w:lineRule="auto"/>
                    <w:rPr>
                      <w:rFonts w:eastAsia="PMingLiU" w:cs="Arial"/>
                      <w:sz w:val="18"/>
                      <w:szCs w:val="20"/>
                      <w:lang w:val="zh-CN" w:eastAsia="zh-CN"/>
                    </w:rPr>
                  </w:pPr>
                  <w:r>
                    <w:rPr>
                      <w:rFonts w:eastAsia="PMingLiU" w:cs="Arial"/>
                      <w:sz w:val="18"/>
                      <w:szCs w:val="20"/>
                      <w:lang w:val="en-US"/>
                    </w:rPr>
                    <w:t>[</w:t>
                  </w:r>
                  <w:r>
                    <w:rPr>
                      <w:rFonts w:hint="eastAsia" w:eastAsia="PMingLiU" w:cs="Arial"/>
                      <w:sz w:val="18"/>
                      <w:szCs w:val="20"/>
                      <w:lang w:val="zh-CN" w:eastAsia="zh-CN"/>
                    </w:rPr>
                    <w:t>56</w:t>
                  </w:r>
                  <w:r>
                    <w:rPr>
                      <w:rFonts w:eastAsia="PMingLiU" w:cs="Arial"/>
                      <w:sz w:val="18"/>
                      <w:szCs w:val="20"/>
                      <w:lang w:val="en-US"/>
                    </w:rPr>
                    <w:t>]</w:t>
                  </w:r>
                  <w:r>
                    <w:rPr>
                      <w:rFonts w:hint="eastAsia" w:eastAsia="PMingLiU" w:cs="Arial"/>
                      <w:sz w:val="18"/>
                      <w:szCs w:val="20"/>
                      <w:lang w:val="zh-CN" w:eastAsia="zh-CN"/>
                    </w:rPr>
                    <w:t xml:space="preserve"> dBm</w:t>
                  </w:r>
                </w:p>
              </w:tc>
            </w:tr>
            <w:tr w14:paraId="6332C79D">
              <w:trPr>
                <w:jc w:val="center"/>
              </w:trPr>
              <w:tc>
                <w:tcPr>
                  <w:tcW w:w="2130" w:type="dxa"/>
                  <w:tcBorders>
                    <w:top w:val="nil"/>
                    <w:left w:val="single" w:color="000000" w:sz="8" w:space="0"/>
                    <w:bottom w:val="single" w:color="000000" w:sz="4" w:space="0"/>
                    <w:right w:val="single" w:color="000000" w:sz="8" w:space="0"/>
                  </w:tcBorders>
                </w:tcPr>
                <w:p w14:paraId="01E1245A">
                  <w:pPr>
                    <w:keepNext/>
                    <w:keepLines/>
                    <w:widowControl w:val="0"/>
                    <w:spacing w:line="256" w:lineRule="auto"/>
                    <w:rPr>
                      <w:rFonts w:eastAsia="PMingLiU" w:cs="Arial"/>
                      <w:sz w:val="18"/>
                      <w:szCs w:val="20"/>
                      <w:lang w:val="en-US"/>
                    </w:rPr>
                  </w:pPr>
                  <w:r>
                    <w:rPr>
                      <w:rFonts w:eastAsia="PMingLiU" w:cs="Arial"/>
                      <w:sz w:val="18"/>
                      <w:szCs w:val="20"/>
                      <w:lang w:val="en-US"/>
                    </w:rPr>
                    <w:t>Total number of UL Rx RUs</w:t>
                  </w:r>
                </w:p>
              </w:tc>
              <w:tc>
                <w:tcPr>
                  <w:tcW w:w="2085" w:type="dxa"/>
                  <w:tcBorders>
                    <w:top w:val="nil"/>
                    <w:left w:val="nil"/>
                    <w:bottom w:val="single" w:color="000000" w:sz="4" w:space="0"/>
                    <w:right w:val="single" w:color="000000" w:sz="8" w:space="0"/>
                  </w:tcBorders>
                  <w:tcMar>
                    <w:top w:w="0" w:type="dxa"/>
                    <w:left w:w="10" w:type="dxa"/>
                    <w:bottom w:w="0" w:type="dxa"/>
                    <w:right w:w="10" w:type="dxa"/>
                  </w:tcMar>
                </w:tcPr>
                <w:p w14:paraId="353C3E67">
                  <w:pPr>
                    <w:keepNext/>
                    <w:keepLines/>
                    <w:widowControl w:val="0"/>
                    <w:spacing w:line="256" w:lineRule="auto"/>
                    <w:rPr>
                      <w:rFonts w:eastAsia="PMingLiU" w:cs="Arial"/>
                      <w:sz w:val="18"/>
                      <w:szCs w:val="20"/>
                      <w:lang w:val="en-US"/>
                    </w:rPr>
                  </w:pPr>
                  <w:r>
                    <w:rPr>
                      <w:rFonts w:eastAsia="PMingLiU" w:cs="Arial"/>
                      <w:sz w:val="18"/>
                      <w:szCs w:val="20"/>
                      <w:lang w:val="en-US"/>
                    </w:rPr>
                    <w:t>[</w:t>
                  </w:r>
                  <w:r>
                    <w:rPr>
                      <w:rFonts w:hint="eastAsia" w:eastAsia="PMingLiU" w:cs="Arial"/>
                      <w:sz w:val="18"/>
                      <w:szCs w:val="20"/>
                      <w:lang w:val="zh-CN" w:eastAsia="zh-CN"/>
                    </w:rPr>
                    <w:t>1</w:t>
                  </w:r>
                  <w:r>
                    <w:rPr>
                      <w:rFonts w:eastAsia="PMingLiU" w:cs="Arial"/>
                      <w:sz w:val="18"/>
                      <w:szCs w:val="20"/>
                      <w:lang w:val="en-US"/>
                    </w:rPr>
                    <w:t>28, 256]</w:t>
                  </w:r>
                </w:p>
              </w:tc>
            </w:tr>
          </w:tbl>
          <w:p w14:paraId="3B5F4925">
            <w:pPr>
              <w:widowControl w:val="0"/>
              <w:spacing w:line="256" w:lineRule="auto"/>
              <w:rPr>
                <w:rFonts w:eastAsia="PMingLiU" w:cs="Arial"/>
                <w:lang w:val="en-US" w:eastAsia="zh-TW"/>
              </w:rPr>
            </w:pPr>
            <w:r>
              <w:rPr>
                <w:rFonts w:hint="eastAsia" w:cs="Arial" w:eastAsiaTheme="minorEastAsia"/>
                <w:lang w:val="en-US" w:eastAsia="zh-CN"/>
              </w:rPr>
              <w:t>Note</w:t>
            </w:r>
            <w:r>
              <w:rPr>
                <w:rFonts w:eastAsia="PMingLiU" w:cs="Arial"/>
                <w:lang w:val="en-US" w:eastAsia="zh-TW"/>
              </w:rPr>
              <w:t xml:space="preserve">: </w:t>
            </w:r>
            <w:r>
              <w:rPr>
                <w:rFonts w:hint="eastAsia" w:cs="Arial" w:eastAsiaTheme="minorEastAsia"/>
                <w:lang w:val="en-US" w:eastAsia="zh-CN"/>
              </w:rPr>
              <w:t>B</w:t>
            </w:r>
            <w:r>
              <w:rPr>
                <w:rFonts w:eastAsia="PMingLiU" w:cs="Arial"/>
                <w:lang w:val="en-US" w:eastAsia="zh-TW"/>
              </w:rPr>
              <w:t xml:space="preserve">racketed values </w:t>
            </w:r>
            <w:r>
              <w:rPr>
                <w:rFonts w:hint="eastAsia" w:cs="Arial" w:eastAsiaTheme="minorEastAsia"/>
                <w:lang w:val="en-US" w:eastAsia="zh-CN"/>
              </w:rPr>
              <w:t>to be confirmed</w:t>
            </w:r>
            <w:r>
              <w:rPr>
                <w:rFonts w:eastAsia="PMingLiU" w:cs="Arial"/>
                <w:lang w:val="en-US" w:eastAsia="zh-TW"/>
              </w:rPr>
              <w:t xml:space="preserve">. Other values </w:t>
            </w:r>
            <w:r>
              <w:rPr>
                <w:rFonts w:hint="eastAsia" w:cs="Arial" w:eastAsiaTheme="minorEastAsia"/>
                <w:lang w:val="en-US" w:eastAsia="zh-CN"/>
              </w:rPr>
              <w:t xml:space="preserve">are </w:t>
            </w:r>
            <w:r>
              <w:rPr>
                <w:rFonts w:eastAsia="PMingLiU" w:cs="Arial"/>
                <w:lang w:val="en-US" w:eastAsia="zh-TW"/>
              </w:rPr>
              <w:t>not precluded.</w:t>
            </w:r>
          </w:p>
          <w:p w14:paraId="19B2BBB5">
            <w:pPr>
              <w:widowControl w:val="0"/>
              <w:rPr>
                <w:rFonts w:eastAsia="等线"/>
                <w:i/>
                <w:iCs/>
                <w:highlight w:val="yellow"/>
                <w:lang w:val="en-US" w:eastAsia="zh-CN"/>
              </w:rPr>
            </w:pPr>
            <w:r>
              <w:rPr>
                <w:rFonts w:eastAsia="PMingLiU" w:cs="Arial"/>
                <w:lang w:val="en-US" w:eastAsia="zh-TW"/>
              </w:rPr>
              <w:t>The above configuration has no implication on supported BW, SCS for 6GR.</w:t>
            </w:r>
          </w:p>
          <w:p w14:paraId="1FF8DACE">
            <w:pPr>
              <w:widowControl w:val="0"/>
              <w:rPr>
                <w:rFonts w:eastAsia="等线"/>
                <w:i/>
                <w:iCs/>
                <w:lang w:val="en-US" w:eastAsia="zh-CN"/>
              </w:rPr>
            </w:pPr>
          </w:p>
          <w:p w14:paraId="5E6621B4">
            <w:pPr>
              <w:widowControl w:val="0"/>
              <w:rPr>
                <w:rFonts w:eastAsia="等线"/>
                <w:highlight w:val="green"/>
                <w:lang w:val="en-US" w:eastAsia="zh-CN"/>
              </w:rPr>
            </w:pPr>
            <w:r>
              <w:rPr>
                <w:rFonts w:hint="eastAsia" w:eastAsia="等线"/>
                <w:highlight w:val="green"/>
                <w:lang w:val="en-US" w:eastAsia="zh-CN"/>
              </w:rPr>
              <w:t>Agreement</w:t>
            </w:r>
          </w:p>
          <w:p w14:paraId="34AE8C3B">
            <w:pPr>
              <w:widowControl w:val="0"/>
              <w:spacing w:line="254" w:lineRule="auto"/>
              <w:rPr>
                <w:rFonts w:eastAsia="等线" w:cs="Arial"/>
                <w:lang w:val="en-US" w:eastAsia="zh-CN"/>
              </w:rPr>
            </w:pPr>
            <w:r>
              <w:rPr>
                <w:rFonts w:eastAsia="等线" w:cs="Arial"/>
                <w:lang w:val="en-US" w:eastAsia="zh-CN"/>
              </w:rPr>
              <w:t>Study whether/how to further update the BS model considering the following aspects, e.g.,</w:t>
            </w:r>
          </w:p>
          <w:p w14:paraId="073CE012">
            <w:pPr>
              <w:widowControl w:val="0"/>
              <w:numPr>
                <w:ilvl w:val="0"/>
                <w:numId w:val="18"/>
              </w:numPr>
              <w:spacing w:line="254" w:lineRule="auto"/>
              <w:rPr>
                <w:rFonts w:eastAsia="等线" w:cs="Arial"/>
                <w:lang w:val="en-US" w:eastAsia="zh-CN"/>
              </w:rPr>
            </w:pPr>
            <w:r>
              <w:rPr>
                <w:rFonts w:eastAsia="等线" w:cs="Arial"/>
                <w:lang w:val="en-US" w:eastAsia="zh-CN"/>
              </w:rPr>
              <w:t>Whether to downselect between Cat.1 and Cat. 2,</w:t>
            </w:r>
          </w:p>
          <w:p w14:paraId="65510A68">
            <w:pPr>
              <w:widowControl w:val="0"/>
              <w:numPr>
                <w:ilvl w:val="0"/>
                <w:numId w:val="18"/>
              </w:numPr>
              <w:spacing w:line="254" w:lineRule="auto"/>
              <w:rPr>
                <w:rFonts w:eastAsia="等线" w:cs="Arial"/>
                <w:lang w:val="en-US" w:eastAsia="zh-CN"/>
              </w:rPr>
            </w:pPr>
            <w:r>
              <w:rPr>
                <w:rFonts w:eastAsia="等线" w:cs="Arial"/>
                <w:lang w:val="en-US" w:eastAsia="zh-CN"/>
              </w:rPr>
              <w:t>Updates of parameter values (including defining a new Cat),</w:t>
            </w:r>
          </w:p>
          <w:p w14:paraId="4CC470D5">
            <w:pPr>
              <w:widowControl w:val="0"/>
              <w:numPr>
                <w:ilvl w:val="0"/>
                <w:numId w:val="18"/>
              </w:numPr>
              <w:spacing w:line="254" w:lineRule="auto"/>
              <w:rPr>
                <w:rFonts w:eastAsia="等线" w:cs="Arial"/>
                <w:lang w:val="en-US" w:eastAsia="zh-CN"/>
              </w:rPr>
            </w:pPr>
            <w:r>
              <w:rPr>
                <w:rFonts w:eastAsia="等线" w:cs="Arial"/>
                <w:lang w:val="en-US" w:eastAsia="zh-CN"/>
              </w:rPr>
              <w:t>Updates of power scaling, power states (including additional PSs)</w:t>
            </w:r>
          </w:p>
          <w:p w14:paraId="523448EC">
            <w:pPr>
              <w:widowControl w:val="0"/>
              <w:numPr>
                <w:ilvl w:val="0"/>
                <w:numId w:val="18"/>
              </w:numPr>
              <w:spacing w:line="254" w:lineRule="auto"/>
              <w:rPr>
                <w:rFonts w:eastAsia="等线" w:cs="Arial"/>
                <w:lang w:val="en-US" w:eastAsia="zh-CN"/>
              </w:rPr>
            </w:pPr>
            <w:r>
              <w:rPr>
                <w:rFonts w:eastAsia="等线" w:cs="Arial"/>
                <w:lang w:val="en-US" w:eastAsia="zh-CN"/>
              </w:rPr>
              <w:t>Etc.</w:t>
            </w:r>
          </w:p>
          <w:p w14:paraId="4249B909">
            <w:pPr>
              <w:widowControl w:val="0"/>
              <w:tabs>
                <w:tab w:val="left" w:pos="0"/>
              </w:tabs>
              <w:spacing w:line="256" w:lineRule="auto"/>
              <w:rPr>
                <w:rFonts w:hint="eastAsia" w:eastAsia="等线"/>
                <w:i/>
                <w:iCs/>
                <w:lang w:eastAsia="zh-CN"/>
              </w:rPr>
            </w:pPr>
            <w:r>
              <w:rPr>
                <w:rFonts w:hint="eastAsia" w:cs="Arial" w:eastAsiaTheme="minorEastAsia"/>
                <w:lang w:eastAsia="zh-CN"/>
              </w:rPr>
              <w:t xml:space="preserve">Note: </w:t>
            </w:r>
            <w:r>
              <w:rPr>
                <w:rFonts w:eastAsia="Calibri" w:cs="Arial"/>
                <w:lang w:eastAsia="zh-CN"/>
              </w:rPr>
              <w:t xml:space="preserve">The defined BS power models does not preclude use case-specific enhancements regarding, </w:t>
            </w:r>
            <w:r>
              <w:rPr>
                <w:rFonts w:eastAsia="Calibri" w:cs="Arial"/>
                <w:highlight w:val="none"/>
                <w:lang w:eastAsia="zh-CN"/>
              </w:rPr>
              <w:t>e.g., multi-TRP, SBFD, multi-carrier etc</w:t>
            </w:r>
          </w:p>
        </w:tc>
      </w:tr>
    </w:tbl>
    <w:p w14:paraId="778D306F">
      <w:pPr>
        <w:numPr>
          <w:ilvl w:val="0"/>
          <w:numId w:val="0"/>
        </w:numPr>
        <w:ind w:leftChars="0"/>
        <w:outlineLvl w:val="9"/>
        <w:rPr>
          <w:rFonts w:hint="default"/>
          <w:lang w:val="en-US" w:eastAsia="zh-CN"/>
        </w:rPr>
      </w:pPr>
      <w:bookmarkStart w:id="11" w:name="X0f1a27fda61c023b017349318039dd2e9473d41"/>
      <w:r>
        <w:rPr>
          <w:rFonts w:hint="eastAsia"/>
          <w:lang w:val="en-US" w:eastAsia="zh-CN"/>
        </w:rPr>
        <w:t>In</w:t>
      </w:r>
      <w:r>
        <w:rPr>
          <w:rFonts w:hint="default"/>
          <w:lang w:val="en-US" w:eastAsia="zh-CN"/>
        </w:rPr>
        <w:t xml:space="preserve"> this subsection, we will further discuss parameters configuration, power states and modeling enhancement based on TR 38.864.</w:t>
      </w:r>
    </w:p>
    <w:p w14:paraId="0640C572">
      <w:pPr>
        <w:pStyle w:val="4"/>
        <w:numPr>
          <w:ilvl w:val="2"/>
          <w:numId w:val="0"/>
        </w:numPr>
        <w:tabs>
          <w:tab w:val="clear" w:pos="432"/>
          <w:tab w:val="clear" w:pos="720"/>
        </w:tabs>
        <w:ind w:leftChars="0"/>
        <w:rPr>
          <w:rFonts w:hint="default" w:eastAsia="宋体"/>
          <w:lang w:val="en-US" w:eastAsia="zh-CN"/>
        </w:rPr>
      </w:pPr>
      <w:r>
        <w:rPr>
          <w:rFonts w:hint="default"/>
          <w:lang w:val="en-US" w:eastAsia="zh-CN"/>
        </w:rPr>
        <w:t>4</w:t>
      </w:r>
      <w:r>
        <w:rPr>
          <w:rFonts w:hint="eastAsia"/>
          <w:lang w:val="en-US" w:eastAsia="zh-CN"/>
        </w:rPr>
        <w:t>.1.1</w:t>
      </w:r>
      <w:r>
        <w:t xml:space="preserve"> </w:t>
      </w:r>
      <w:r>
        <w:rPr>
          <w:rFonts w:hint="default"/>
          <w:lang w:val="en-US" w:eastAsia="zh-CN"/>
        </w:rPr>
        <w:t>P</w:t>
      </w:r>
      <w:r>
        <w:rPr>
          <w:rFonts w:hint="eastAsia"/>
          <w:lang w:val="en-US" w:eastAsia="zh-CN"/>
        </w:rPr>
        <w:t>arameters configuration for BS po</w:t>
      </w:r>
      <w:r>
        <w:rPr>
          <w:rFonts w:hint="default"/>
          <w:lang w:val="en-US" w:eastAsia="zh-CN"/>
        </w:rPr>
        <w:t>wer model</w:t>
      </w:r>
    </w:p>
    <w:p w14:paraId="16E7BF3C">
      <w:pPr>
        <w:pStyle w:val="85"/>
        <w:rPr>
          <w:rFonts w:hint="default"/>
          <w:sz w:val="22"/>
          <w:szCs w:val="22"/>
          <w:lang w:val="en-US" w:eastAsia="zh-CN"/>
        </w:rPr>
      </w:pPr>
      <w:r>
        <w:rPr>
          <w:sz w:val="22"/>
          <w:szCs w:val="22"/>
        </w:rPr>
        <w:t>In 5G-Advanced Release 18, 3GPP introduced a standardized BS power consumption model (i.e., TR 38.864) to evaluate energy-saving techniques in a fair, realistic manner. This model was derived from consolidated industry input and defines power consumption for a set of reference BS configurations and power states[</w:t>
      </w:r>
      <w:r>
        <w:rPr>
          <w:rFonts w:hint="default"/>
          <w:sz w:val="22"/>
          <w:szCs w:val="22"/>
          <w:lang w:val="en-US"/>
        </w:rPr>
        <w:t>1</w:t>
      </w:r>
      <w:r>
        <w:rPr>
          <w:sz w:val="22"/>
          <w:szCs w:val="22"/>
        </w:rPr>
        <w:t>]</w:t>
      </w:r>
      <w:r>
        <w:rPr>
          <w:rFonts w:hint="default"/>
          <w:sz w:val="22"/>
          <w:szCs w:val="22"/>
          <w:lang w:val="en-US"/>
        </w:rPr>
        <w:t>[2]</w:t>
      </w:r>
      <w:r>
        <w:rPr>
          <w:sz w:val="22"/>
          <w:szCs w:val="22"/>
        </w:rPr>
        <w:t xml:space="preserve">. </w:t>
      </w:r>
      <w:r>
        <w:rPr>
          <w:rFonts w:hint="eastAsia"/>
          <w:sz w:val="22"/>
          <w:szCs w:val="22"/>
          <w:lang w:val="en-US" w:eastAsia="zh-CN"/>
        </w:rPr>
        <w:t>In</w:t>
      </w:r>
      <w:r>
        <w:rPr>
          <w:rFonts w:hint="default"/>
          <w:sz w:val="22"/>
          <w:szCs w:val="22"/>
          <w:lang w:val="en-US" w:eastAsia="zh-CN"/>
        </w:rPr>
        <w:t xml:space="preserve"> addition, RAN 1#122b agreed </w:t>
      </w:r>
      <w:r>
        <w:rPr>
          <w:rFonts w:hint="eastAsia"/>
          <w:sz w:val="22"/>
          <w:szCs w:val="22"/>
          <w:lang w:val="en-US" w:eastAsia="zh-CN"/>
        </w:rPr>
        <w:t>to</w:t>
      </w:r>
      <w:r>
        <w:rPr>
          <w:rFonts w:hint="default"/>
          <w:sz w:val="22"/>
          <w:szCs w:val="22"/>
          <w:lang w:val="en-US" w:eastAsia="zh-CN"/>
        </w:rPr>
        <w:t xml:space="preserve"> </w:t>
      </w:r>
      <w:r>
        <w:rPr>
          <w:rFonts w:eastAsia="Calibri" w:cs="Arial"/>
          <w:sz w:val="22"/>
          <w:szCs w:val="22"/>
          <w:lang w:val="en-US"/>
        </w:rPr>
        <w:t>expand the existing BS power model reference configuration with a set for ~7 GHz</w:t>
      </w:r>
      <w:r>
        <w:rPr>
          <w:rFonts w:hint="default" w:eastAsia="Calibri" w:cs="Arial"/>
          <w:sz w:val="22"/>
          <w:szCs w:val="22"/>
          <w:lang w:val="en-US"/>
        </w:rPr>
        <w:t xml:space="preserve">[3]. </w:t>
      </w:r>
      <w:r>
        <w:rPr>
          <w:sz w:val="22"/>
          <w:szCs w:val="22"/>
        </w:rPr>
        <w:t xml:space="preserve">The ~7 GHz range (part of “FR3”, 7.125–24.25 GHz) is considered a </w:t>
      </w:r>
      <w:r>
        <w:rPr>
          <w:i w:val="0"/>
          <w:iCs w:val="0"/>
          <w:sz w:val="22"/>
          <w:szCs w:val="22"/>
        </w:rPr>
        <w:t>golden spectrum</w:t>
      </w:r>
      <w:r>
        <w:rPr>
          <w:sz w:val="22"/>
          <w:szCs w:val="22"/>
        </w:rPr>
        <w:t xml:space="preserve"> for 6G, offering much wider bandwidths up to 400 MHz per operator than typical mid-bands while retaining more favorable propagation than mmWave. Notably, the upper 6 GHz band (6425–7125 MHz) was recently identified for IMT in multiple regions (e.g. Europe, parts of the Americas and Asia) at WRC-23, reflecting global interest in this spectrum for 5G-Advanced/6G.</w:t>
      </w:r>
      <w:r>
        <w:rPr>
          <w:rFonts w:eastAsia="Calibri" w:cs="Arial"/>
          <w:sz w:val="22"/>
          <w:szCs w:val="22"/>
          <w:lang w:val="en-US"/>
        </w:rPr>
        <w:t xml:space="preserve"> </w:t>
      </w:r>
      <w:r>
        <w:rPr>
          <w:rFonts w:hint="default" w:eastAsia="Calibri" w:cs="Arial"/>
          <w:sz w:val="22"/>
          <w:szCs w:val="22"/>
          <w:lang w:val="en-US"/>
        </w:rPr>
        <w:t>Here, we summarize the NR BS reference configurations and around 7GHz reference configurations agreed in last meeting.</w:t>
      </w:r>
    </w:p>
    <w:p w14:paraId="54DF20CB">
      <w:pPr>
        <w:pStyle w:val="5"/>
        <w:jc w:val="center"/>
      </w:pPr>
      <w:r>
        <w:rPr>
          <w:i/>
          <w:iCs/>
        </w:rPr>
        <w:t xml:space="preserve">Table </w:t>
      </w:r>
      <w:r>
        <w:rPr>
          <w:rFonts w:hint="default"/>
          <w:i/>
          <w:iCs/>
          <w:lang w:val="en-US"/>
        </w:rPr>
        <w:t>1</w:t>
      </w:r>
      <w:r>
        <w:rPr>
          <w:i/>
          <w:iCs/>
        </w:rPr>
        <w:t>: BS Reference Configurations</w:t>
      </w:r>
      <w:r>
        <w:rPr>
          <w:rFonts w:hint="eastAsia"/>
          <w:i/>
          <w:iCs/>
          <w:lang w:val="en-US" w:eastAsia="zh-CN"/>
        </w:rPr>
        <w:t xml:space="preserve"> based</w:t>
      </w:r>
      <w:r>
        <w:rPr>
          <w:rFonts w:hint="default"/>
          <w:i/>
          <w:iCs/>
          <w:lang w:val="en-US" w:eastAsia="zh-CN"/>
        </w:rPr>
        <w:t xml:space="preserve"> on TS 38.864 and [3]</w:t>
      </w:r>
      <w:r>
        <w:rPr>
          <w:i/>
          <w:iCs/>
        </w:rPr>
        <w:t>.</w:t>
      </w:r>
    </w:p>
    <w:tbl>
      <w:tblPr>
        <w:tblStyle w:val="27"/>
        <w:tblW w:w="9423" w:type="dxa"/>
        <w:tblInd w:w="108" w:type="dxa"/>
        <w:tblLayout w:type="autofit"/>
        <w:tblCellMar>
          <w:top w:w="0" w:type="dxa"/>
          <w:left w:w="0" w:type="dxa"/>
          <w:bottom w:w="0" w:type="dxa"/>
          <w:right w:w="0" w:type="dxa"/>
        </w:tblCellMar>
      </w:tblPr>
      <w:tblGrid>
        <w:gridCol w:w="2366"/>
        <w:gridCol w:w="1720"/>
        <w:gridCol w:w="1729"/>
        <w:gridCol w:w="1685"/>
        <w:gridCol w:w="1923"/>
      </w:tblGrid>
      <w:tr w14:paraId="1A7E9F50">
        <w:tc>
          <w:tcPr>
            <w:tcW w:w="2366"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14:paraId="01DD031B">
            <w:pPr>
              <w:pStyle w:val="77"/>
              <w:rPr>
                <w:lang w:eastAsia="zh-CN"/>
              </w:rPr>
            </w:pPr>
          </w:p>
        </w:tc>
        <w:tc>
          <w:tcPr>
            <w:tcW w:w="172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14:paraId="16CCDB75">
            <w:pPr>
              <w:pStyle w:val="77"/>
            </w:pPr>
            <w:r>
              <w:t>Set 1 FR1</w:t>
            </w:r>
          </w:p>
        </w:tc>
        <w:tc>
          <w:tcPr>
            <w:tcW w:w="1729"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14:paraId="4C0BD745">
            <w:pPr>
              <w:pStyle w:val="77"/>
            </w:pPr>
            <w:r>
              <w:t>Set 2 FR1</w:t>
            </w:r>
          </w:p>
        </w:tc>
        <w:tc>
          <w:tcPr>
            <w:tcW w:w="1685"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14:paraId="7D4E52A5">
            <w:pPr>
              <w:pStyle w:val="77"/>
            </w:pPr>
            <w:r>
              <w:t>Set 3 FR2</w:t>
            </w:r>
          </w:p>
        </w:tc>
        <w:tc>
          <w:tcPr>
            <w:tcW w:w="192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top"/>
          </w:tcPr>
          <w:p w14:paraId="6DB69076">
            <w:pPr>
              <w:keepNext/>
              <w:keepLines/>
              <w:widowControl w:val="0"/>
              <w:tabs>
                <w:tab w:val="left" w:pos="720"/>
              </w:tabs>
              <w:spacing w:line="256" w:lineRule="auto"/>
              <w:rPr>
                <w:rFonts w:hint="default" w:ascii="Times New Roman Regular" w:hAnsi="Times New Roman Regular" w:cs="Times New Roman Regular"/>
                <w:i/>
                <w:iCs/>
                <w:lang w:val="en-US"/>
              </w:rPr>
            </w:pPr>
            <w:r>
              <w:rPr>
                <w:rFonts w:hint="default" w:ascii="Times New Roman Regular" w:hAnsi="Times New Roman Regular" w:eastAsia="PMingLiU" w:cs="Times New Roman Regular"/>
                <w:b/>
                <w:bCs/>
                <w:i/>
                <w:iCs/>
                <w:color w:val="FF0000"/>
                <w:sz w:val="18"/>
                <w:szCs w:val="20"/>
                <w:lang w:val="en-US" w:eastAsia="zh-CN"/>
              </w:rPr>
              <w:t xml:space="preserve">Set 4 around 7 GHz </w:t>
            </w:r>
          </w:p>
        </w:tc>
      </w:tr>
      <w:tr w14:paraId="03370B5C">
        <w:tc>
          <w:tcPr>
            <w:tcW w:w="2366"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14:paraId="7531A830">
            <w:pPr>
              <w:pStyle w:val="76"/>
              <w:rPr>
                <w:rFonts w:hint="default" w:ascii="Times New Roman Regular" w:hAnsi="Times New Roman Regular" w:cs="Times New Roman Regular"/>
              </w:rPr>
            </w:pPr>
            <w:r>
              <w:rPr>
                <w:rFonts w:hint="default" w:ascii="Times New Roman Regular" w:hAnsi="Times New Roman Regular" w:cs="Times New Roman Regular"/>
              </w:rPr>
              <w:t>Duplex</w:t>
            </w:r>
          </w:p>
        </w:tc>
        <w:tc>
          <w:tcPr>
            <w:tcW w:w="1720"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0D0E2962">
            <w:pPr>
              <w:pStyle w:val="76"/>
              <w:rPr>
                <w:rFonts w:hint="default" w:ascii="Times New Roman Regular" w:hAnsi="Times New Roman Regular" w:cs="Times New Roman Regular"/>
              </w:rPr>
            </w:pPr>
            <w:r>
              <w:rPr>
                <w:rFonts w:hint="default" w:ascii="Times New Roman Regular" w:hAnsi="Times New Roman Regular" w:cs="Times New Roman Regular"/>
              </w:rPr>
              <w:t>TDD</w:t>
            </w:r>
          </w:p>
        </w:tc>
        <w:tc>
          <w:tcPr>
            <w:tcW w:w="1729"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73565676">
            <w:pPr>
              <w:pStyle w:val="76"/>
              <w:rPr>
                <w:rFonts w:hint="default" w:ascii="Times New Roman Regular" w:hAnsi="Times New Roman Regular" w:cs="Times New Roman Regular"/>
              </w:rPr>
            </w:pPr>
            <w:r>
              <w:rPr>
                <w:rFonts w:hint="default" w:ascii="Times New Roman Regular" w:hAnsi="Times New Roman Regular" w:cs="Times New Roman Regular"/>
              </w:rPr>
              <w:t>FDD</w:t>
            </w:r>
          </w:p>
        </w:tc>
        <w:tc>
          <w:tcPr>
            <w:tcW w:w="1685"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523FE01B">
            <w:pPr>
              <w:pStyle w:val="76"/>
              <w:rPr>
                <w:rFonts w:hint="default" w:ascii="Times New Roman Regular" w:hAnsi="Times New Roman Regular" w:cs="Times New Roman Regular"/>
              </w:rPr>
            </w:pPr>
            <w:r>
              <w:rPr>
                <w:rFonts w:hint="default" w:ascii="Times New Roman Regular" w:hAnsi="Times New Roman Regular" w:cs="Times New Roman Regular"/>
              </w:rPr>
              <w:t>TDD</w:t>
            </w:r>
          </w:p>
        </w:tc>
        <w:tc>
          <w:tcPr>
            <w:tcW w:w="1923"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top"/>
          </w:tcPr>
          <w:p w14:paraId="23705CC5">
            <w:pPr>
              <w:keepNext/>
              <w:keepLines/>
              <w:widowControl w:val="0"/>
              <w:spacing w:line="256" w:lineRule="auto"/>
              <w:rPr>
                <w:rFonts w:hint="default" w:ascii="Times New Roman Regular" w:hAnsi="Times New Roman Regular" w:cs="Times New Roman Regular"/>
                <w:i/>
                <w:iCs/>
              </w:rPr>
            </w:pPr>
            <w:r>
              <w:rPr>
                <w:rFonts w:hint="default" w:ascii="Times New Roman Regular" w:hAnsi="Times New Roman Regular" w:eastAsia="PMingLiU" w:cs="Times New Roman Regular"/>
                <w:i/>
                <w:iCs/>
                <w:sz w:val="18"/>
                <w:szCs w:val="20"/>
                <w:lang w:val="zh-CN" w:eastAsia="zh-CN"/>
              </w:rPr>
              <w:t>TDD</w:t>
            </w:r>
          </w:p>
        </w:tc>
      </w:tr>
      <w:tr w14:paraId="57566963">
        <w:tc>
          <w:tcPr>
            <w:tcW w:w="2366"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14:paraId="50EA2AAA">
            <w:pPr>
              <w:pStyle w:val="76"/>
              <w:rPr>
                <w:rFonts w:hint="default" w:ascii="Times New Roman Regular" w:hAnsi="Times New Roman Regular" w:cs="Times New Roman Regular"/>
              </w:rPr>
            </w:pPr>
            <w:r>
              <w:rPr>
                <w:rFonts w:hint="default" w:ascii="Times New Roman Regular" w:hAnsi="Times New Roman Regular" w:cs="Times New Roman Regular"/>
              </w:rPr>
              <w:t>System BW</w:t>
            </w:r>
          </w:p>
        </w:tc>
        <w:tc>
          <w:tcPr>
            <w:tcW w:w="1720"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42738DCE">
            <w:pPr>
              <w:pStyle w:val="76"/>
              <w:rPr>
                <w:rFonts w:hint="default" w:ascii="Times New Roman Regular" w:hAnsi="Times New Roman Regular" w:cs="Times New Roman Regular"/>
              </w:rPr>
            </w:pPr>
            <w:r>
              <w:rPr>
                <w:rFonts w:hint="default" w:ascii="Times New Roman Regular" w:hAnsi="Times New Roman Regular" w:cs="Times New Roman Regular"/>
              </w:rPr>
              <w:t>100 MHz</w:t>
            </w:r>
          </w:p>
        </w:tc>
        <w:tc>
          <w:tcPr>
            <w:tcW w:w="1729"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6613EDB4">
            <w:pPr>
              <w:pStyle w:val="76"/>
              <w:rPr>
                <w:rFonts w:hint="default" w:ascii="Times New Roman Regular" w:hAnsi="Times New Roman Regular" w:cs="Times New Roman Regular"/>
              </w:rPr>
            </w:pPr>
            <w:r>
              <w:rPr>
                <w:rFonts w:hint="default" w:ascii="Times New Roman Regular" w:hAnsi="Times New Roman Regular" w:cs="Times New Roman Regular"/>
              </w:rPr>
              <w:t>20 MHz</w:t>
            </w:r>
          </w:p>
        </w:tc>
        <w:tc>
          <w:tcPr>
            <w:tcW w:w="1685"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2592F260">
            <w:pPr>
              <w:pStyle w:val="76"/>
              <w:rPr>
                <w:rFonts w:hint="default" w:ascii="Times New Roman Regular" w:hAnsi="Times New Roman Regular" w:cs="Times New Roman Regular"/>
              </w:rPr>
            </w:pPr>
            <w:r>
              <w:rPr>
                <w:rFonts w:hint="default" w:ascii="Times New Roman Regular" w:hAnsi="Times New Roman Regular" w:cs="Times New Roman Regular"/>
              </w:rPr>
              <w:t>100</w:t>
            </w:r>
            <w:r>
              <w:rPr>
                <w:rFonts w:hint="default" w:ascii="Times New Roman Regular" w:hAnsi="Times New Roman Regular" w:cs="Times New Roman Regular"/>
                <w:color w:val="FF0000"/>
              </w:rPr>
              <w:t xml:space="preserve"> </w:t>
            </w:r>
            <w:r>
              <w:rPr>
                <w:rFonts w:hint="default" w:ascii="Times New Roman Regular" w:hAnsi="Times New Roman Regular" w:cs="Times New Roman Regular"/>
              </w:rPr>
              <w:t>MHz</w:t>
            </w:r>
          </w:p>
        </w:tc>
        <w:tc>
          <w:tcPr>
            <w:tcW w:w="1923"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top"/>
          </w:tcPr>
          <w:p w14:paraId="3AD2F9FF">
            <w:pPr>
              <w:keepNext/>
              <w:keepLines/>
              <w:widowControl w:val="0"/>
              <w:spacing w:line="256" w:lineRule="auto"/>
              <w:rPr>
                <w:rFonts w:hint="default" w:ascii="Times New Roman Regular" w:hAnsi="Times New Roman Regular" w:cs="Times New Roman Regular"/>
                <w:i/>
                <w:iCs/>
              </w:rPr>
            </w:pPr>
            <w:r>
              <w:rPr>
                <w:rFonts w:hint="default" w:ascii="Times New Roman Regular" w:hAnsi="Times New Roman Regular" w:eastAsia="PMingLiU" w:cs="Times New Roman Regular"/>
                <w:i/>
                <w:iCs/>
                <w:sz w:val="18"/>
                <w:szCs w:val="20"/>
                <w:lang w:val="en-US"/>
              </w:rPr>
              <w:t>[</w:t>
            </w:r>
            <w:r>
              <w:rPr>
                <w:rFonts w:hint="default" w:ascii="Times New Roman Regular" w:hAnsi="Times New Roman Regular" w:eastAsia="PMingLiU" w:cs="Times New Roman Regular"/>
                <w:i/>
                <w:iCs/>
                <w:sz w:val="18"/>
                <w:szCs w:val="20"/>
                <w:lang w:val="zh-CN" w:eastAsia="zh-CN"/>
              </w:rPr>
              <w:t>1</w:t>
            </w:r>
            <w:r>
              <w:rPr>
                <w:rFonts w:hint="default" w:ascii="Times New Roman Regular" w:hAnsi="Times New Roman Regular" w:eastAsia="PMingLiU" w:cs="Times New Roman Regular"/>
                <w:i/>
                <w:iCs/>
                <w:sz w:val="18"/>
                <w:szCs w:val="20"/>
                <w:lang w:val="en-US"/>
              </w:rPr>
              <w:t>0</w:t>
            </w:r>
            <w:r>
              <w:rPr>
                <w:rFonts w:hint="default" w:ascii="Times New Roman Regular" w:hAnsi="Times New Roman Regular" w:eastAsia="PMingLiU" w:cs="Times New Roman Regular"/>
                <w:i/>
                <w:iCs/>
                <w:sz w:val="18"/>
                <w:szCs w:val="20"/>
                <w:lang w:val="zh-CN" w:eastAsia="zh-CN"/>
              </w:rPr>
              <w:t>0</w:t>
            </w:r>
            <w:r>
              <w:rPr>
                <w:rFonts w:hint="default" w:ascii="Times New Roman Regular" w:hAnsi="Times New Roman Regular" w:eastAsia="PMingLiU" w:cs="Times New Roman Regular"/>
                <w:i/>
                <w:iCs/>
                <w:sz w:val="18"/>
                <w:szCs w:val="20"/>
                <w:lang w:val="en-US"/>
              </w:rPr>
              <w:t>, 200, 400]</w:t>
            </w:r>
            <w:r>
              <w:rPr>
                <w:rFonts w:hint="default" w:ascii="Times New Roman Regular" w:hAnsi="Times New Roman Regular" w:eastAsia="PMingLiU" w:cs="Times New Roman Regular"/>
                <w:i/>
                <w:iCs/>
                <w:sz w:val="18"/>
                <w:szCs w:val="20"/>
                <w:lang w:val="zh-CN" w:eastAsia="zh-CN"/>
              </w:rPr>
              <w:t xml:space="preserve"> MHz </w:t>
            </w:r>
          </w:p>
        </w:tc>
      </w:tr>
      <w:tr w14:paraId="43D0E0A2">
        <w:tc>
          <w:tcPr>
            <w:tcW w:w="2366"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14:paraId="082A813C">
            <w:pPr>
              <w:pStyle w:val="76"/>
              <w:rPr>
                <w:rFonts w:hint="default" w:ascii="Times New Roman Regular" w:hAnsi="Times New Roman Regular" w:cs="Times New Roman Regular"/>
              </w:rPr>
            </w:pPr>
            <w:r>
              <w:rPr>
                <w:rFonts w:hint="default" w:ascii="Times New Roman Regular" w:hAnsi="Times New Roman Regular" w:cs="Times New Roman Regular"/>
              </w:rPr>
              <w:t>SCS</w:t>
            </w:r>
          </w:p>
        </w:tc>
        <w:tc>
          <w:tcPr>
            <w:tcW w:w="1720"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61ACA161">
            <w:pPr>
              <w:pStyle w:val="76"/>
              <w:rPr>
                <w:rFonts w:hint="default" w:ascii="Times New Roman Regular" w:hAnsi="Times New Roman Regular" w:cs="Times New Roman Regular"/>
              </w:rPr>
            </w:pPr>
            <w:r>
              <w:rPr>
                <w:rFonts w:hint="default" w:ascii="Times New Roman Regular" w:hAnsi="Times New Roman Regular" w:cs="Times New Roman Regular"/>
              </w:rPr>
              <w:t>30 kHz</w:t>
            </w:r>
          </w:p>
        </w:tc>
        <w:tc>
          <w:tcPr>
            <w:tcW w:w="1729"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36B7E420">
            <w:pPr>
              <w:pStyle w:val="76"/>
              <w:rPr>
                <w:rFonts w:hint="default" w:ascii="Times New Roman Regular" w:hAnsi="Times New Roman Regular" w:cs="Times New Roman Regular"/>
              </w:rPr>
            </w:pPr>
            <w:r>
              <w:rPr>
                <w:rFonts w:hint="default" w:ascii="Times New Roman Regular" w:hAnsi="Times New Roman Regular" w:cs="Times New Roman Regular"/>
              </w:rPr>
              <w:t>15 kHz</w:t>
            </w:r>
          </w:p>
        </w:tc>
        <w:tc>
          <w:tcPr>
            <w:tcW w:w="1685"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47B769F4">
            <w:pPr>
              <w:pStyle w:val="76"/>
              <w:rPr>
                <w:rFonts w:hint="default" w:ascii="Times New Roman Regular" w:hAnsi="Times New Roman Regular" w:cs="Times New Roman Regular"/>
              </w:rPr>
            </w:pPr>
            <w:r>
              <w:rPr>
                <w:rFonts w:hint="default" w:ascii="Times New Roman Regular" w:hAnsi="Times New Roman Regular" w:cs="Times New Roman Regular"/>
              </w:rPr>
              <w:t>120 kHz</w:t>
            </w:r>
          </w:p>
        </w:tc>
        <w:tc>
          <w:tcPr>
            <w:tcW w:w="1923"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top"/>
          </w:tcPr>
          <w:p w14:paraId="112E60B7">
            <w:pPr>
              <w:keepNext/>
              <w:keepLines/>
              <w:widowControl w:val="0"/>
              <w:spacing w:line="256" w:lineRule="auto"/>
              <w:rPr>
                <w:rFonts w:hint="default" w:ascii="Times New Roman Regular" w:hAnsi="Times New Roman Regular" w:cs="Times New Roman Regular"/>
                <w:i/>
                <w:iCs/>
              </w:rPr>
            </w:pPr>
            <w:r>
              <w:rPr>
                <w:rFonts w:hint="default" w:ascii="Times New Roman Regular" w:hAnsi="Times New Roman Regular" w:eastAsia="PMingLiU" w:cs="Times New Roman Regular"/>
                <w:i/>
                <w:iCs/>
                <w:sz w:val="18"/>
                <w:szCs w:val="20"/>
                <w:lang w:val="en-US" w:eastAsia="zh-CN"/>
              </w:rPr>
              <w:t>[</w:t>
            </w:r>
            <w:r>
              <w:rPr>
                <w:rFonts w:hint="default" w:ascii="Times New Roman Regular" w:hAnsi="Times New Roman Regular" w:eastAsia="PMingLiU" w:cs="Times New Roman Regular"/>
                <w:i/>
                <w:iCs/>
                <w:sz w:val="18"/>
                <w:szCs w:val="20"/>
                <w:lang w:val="zh-CN" w:eastAsia="zh-CN"/>
              </w:rPr>
              <w:t>30 kHz</w:t>
            </w:r>
            <w:r>
              <w:rPr>
                <w:rFonts w:hint="default" w:ascii="Times New Roman Regular" w:hAnsi="Times New Roman Regular" w:eastAsia="PMingLiU" w:cs="Times New Roman Regular"/>
                <w:i/>
                <w:iCs/>
                <w:sz w:val="18"/>
                <w:szCs w:val="20"/>
                <w:lang w:val="en-US" w:eastAsia="zh-CN"/>
              </w:rPr>
              <w:t>, 60 kHz]</w:t>
            </w:r>
          </w:p>
        </w:tc>
      </w:tr>
      <w:tr w14:paraId="1194B038">
        <w:tc>
          <w:tcPr>
            <w:tcW w:w="2366"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14:paraId="616926F0">
            <w:pPr>
              <w:pStyle w:val="76"/>
              <w:rPr>
                <w:rFonts w:hint="default" w:ascii="Times New Roman Regular" w:hAnsi="Times New Roman Regular" w:cs="Times New Roman Regular"/>
              </w:rPr>
            </w:pPr>
            <w:r>
              <w:rPr>
                <w:rFonts w:hint="default" w:ascii="Times New Roman Regular" w:hAnsi="Times New Roman Regular" w:cs="Times New Roman Regular"/>
              </w:rPr>
              <w:t>Number of TRP</w:t>
            </w:r>
          </w:p>
        </w:tc>
        <w:tc>
          <w:tcPr>
            <w:tcW w:w="1720"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1A07B8F4">
            <w:pPr>
              <w:pStyle w:val="76"/>
              <w:rPr>
                <w:rFonts w:hint="default" w:ascii="Times New Roman Regular" w:hAnsi="Times New Roman Regular" w:cs="Times New Roman Regular"/>
              </w:rPr>
            </w:pPr>
            <w:r>
              <w:rPr>
                <w:rFonts w:hint="default" w:ascii="Times New Roman Regular" w:hAnsi="Times New Roman Regular" w:cs="Times New Roman Regular"/>
              </w:rPr>
              <w:t>1</w:t>
            </w:r>
          </w:p>
        </w:tc>
        <w:tc>
          <w:tcPr>
            <w:tcW w:w="1729"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354F3478">
            <w:pPr>
              <w:pStyle w:val="76"/>
              <w:rPr>
                <w:rFonts w:hint="default" w:ascii="Times New Roman Regular" w:hAnsi="Times New Roman Regular" w:cs="Times New Roman Regular"/>
              </w:rPr>
            </w:pPr>
            <w:r>
              <w:rPr>
                <w:rFonts w:hint="default" w:ascii="Times New Roman Regular" w:hAnsi="Times New Roman Regular" w:cs="Times New Roman Regular"/>
              </w:rPr>
              <w:t>1</w:t>
            </w:r>
          </w:p>
        </w:tc>
        <w:tc>
          <w:tcPr>
            <w:tcW w:w="1685"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3A9CB28A">
            <w:pPr>
              <w:pStyle w:val="76"/>
              <w:rPr>
                <w:rFonts w:hint="default" w:ascii="Times New Roman Regular" w:hAnsi="Times New Roman Regular" w:cs="Times New Roman Regular"/>
              </w:rPr>
            </w:pPr>
            <w:r>
              <w:rPr>
                <w:rFonts w:hint="default" w:ascii="Times New Roman Regular" w:hAnsi="Times New Roman Regular" w:cs="Times New Roman Regular"/>
              </w:rPr>
              <w:t>1</w:t>
            </w:r>
          </w:p>
        </w:tc>
        <w:tc>
          <w:tcPr>
            <w:tcW w:w="1923"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top"/>
          </w:tcPr>
          <w:p w14:paraId="126C15EA">
            <w:pPr>
              <w:keepNext/>
              <w:keepLines/>
              <w:widowControl w:val="0"/>
              <w:spacing w:line="256" w:lineRule="auto"/>
              <w:rPr>
                <w:rFonts w:hint="default" w:ascii="Times New Roman Regular" w:hAnsi="Times New Roman Regular" w:cs="Times New Roman Regular"/>
                <w:i/>
                <w:iCs/>
              </w:rPr>
            </w:pPr>
            <w:r>
              <w:rPr>
                <w:rFonts w:hint="default" w:ascii="Times New Roman Regular" w:hAnsi="Times New Roman Regular" w:eastAsia="PMingLiU" w:cs="Times New Roman Regular"/>
                <w:i/>
                <w:iCs/>
                <w:sz w:val="18"/>
                <w:szCs w:val="20"/>
                <w:lang w:val="zh-CN" w:eastAsia="zh-CN"/>
              </w:rPr>
              <w:t>1</w:t>
            </w:r>
          </w:p>
        </w:tc>
      </w:tr>
      <w:tr w14:paraId="37F03251">
        <w:tc>
          <w:tcPr>
            <w:tcW w:w="2366"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14:paraId="734C0A15">
            <w:pPr>
              <w:pStyle w:val="76"/>
              <w:rPr>
                <w:rFonts w:hint="default" w:ascii="Times New Roman Regular" w:hAnsi="Times New Roman Regular" w:cs="Times New Roman Regular"/>
                <w:highlight w:val="none"/>
              </w:rPr>
            </w:pPr>
            <w:r>
              <w:rPr>
                <w:rFonts w:hint="default" w:ascii="Times New Roman Regular" w:hAnsi="Times New Roman Regular" w:cs="Times New Roman Regular"/>
                <w:highlight w:val="none"/>
              </w:rPr>
              <w:t xml:space="preserve">Total number of DL TX </w:t>
            </w:r>
            <w:r>
              <w:rPr>
                <w:rFonts w:hint="default" w:ascii="Times New Roman Regular" w:hAnsi="Times New Roman Regular" w:cs="Times New Roman Regular"/>
                <w:sz w:val="20"/>
                <w:szCs w:val="20"/>
                <w:highlight w:val="none"/>
              </w:rPr>
              <w:t>RUs</w:t>
            </w:r>
          </w:p>
        </w:tc>
        <w:tc>
          <w:tcPr>
            <w:tcW w:w="1720"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472BC01D">
            <w:pPr>
              <w:pStyle w:val="76"/>
              <w:rPr>
                <w:rFonts w:hint="default" w:ascii="Times New Roman Regular" w:hAnsi="Times New Roman Regular" w:cs="Times New Roman Regular"/>
                <w:highlight w:val="none"/>
              </w:rPr>
            </w:pPr>
            <w:r>
              <w:rPr>
                <w:rFonts w:hint="default" w:ascii="Times New Roman Regular" w:hAnsi="Times New Roman Regular" w:cs="Times New Roman Regular"/>
                <w:highlight w:val="none"/>
              </w:rPr>
              <w:t>64</w:t>
            </w:r>
          </w:p>
        </w:tc>
        <w:tc>
          <w:tcPr>
            <w:tcW w:w="1729"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7475F55E">
            <w:pPr>
              <w:pStyle w:val="76"/>
              <w:rPr>
                <w:rFonts w:hint="default" w:ascii="Times New Roman Regular" w:hAnsi="Times New Roman Regular" w:cs="Times New Roman Regular"/>
                <w:highlight w:val="none"/>
                <w:lang w:eastAsia="zh-CN"/>
              </w:rPr>
            </w:pPr>
            <w:r>
              <w:rPr>
                <w:rFonts w:hint="default" w:ascii="Times New Roman Regular" w:hAnsi="Times New Roman Regular" w:cs="Times New Roman Regular"/>
                <w:highlight w:val="none"/>
                <w:lang w:eastAsia="zh-CN"/>
              </w:rPr>
              <w:t>32</w:t>
            </w:r>
          </w:p>
        </w:tc>
        <w:tc>
          <w:tcPr>
            <w:tcW w:w="1685"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6C53195F">
            <w:pPr>
              <w:pStyle w:val="76"/>
              <w:rPr>
                <w:rFonts w:hint="default" w:ascii="Times New Roman Regular" w:hAnsi="Times New Roman Regular" w:cs="Times New Roman Regular"/>
                <w:strike/>
                <w:highlight w:val="none"/>
              </w:rPr>
            </w:pPr>
            <w:r>
              <w:rPr>
                <w:rFonts w:hint="default" w:ascii="Times New Roman Regular" w:hAnsi="Times New Roman Regular" w:cs="Times New Roman Regular"/>
                <w:highlight w:val="none"/>
              </w:rPr>
              <w:t>2</w:t>
            </w:r>
          </w:p>
        </w:tc>
        <w:tc>
          <w:tcPr>
            <w:tcW w:w="1923"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top"/>
          </w:tcPr>
          <w:p w14:paraId="50430329">
            <w:pPr>
              <w:keepNext/>
              <w:keepLines/>
              <w:widowControl w:val="0"/>
              <w:spacing w:line="256" w:lineRule="auto"/>
              <w:rPr>
                <w:rFonts w:hint="default" w:ascii="Times New Roman Regular" w:hAnsi="Times New Roman Regular" w:cs="Times New Roman Regular"/>
                <w:i/>
                <w:iCs/>
                <w:highlight w:val="none"/>
              </w:rPr>
            </w:pPr>
            <w:r>
              <w:rPr>
                <w:rFonts w:hint="default" w:ascii="Times New Roman Regular" w:hAnsi="Times New Roman Regular" w:eastAsia="PMingLiU" w:cs="Times New Roman Regular"/>
                <w:i/>
                <w:iCs/>
                <w:sz w:val="18"/>
                <w:szCs w:val="20"/>
                <w:highlight w:val="none"/>
                <w:lang w:val="en-US"/>
              </w:rPr>
              <w:t>[</w:t>
            </w:r>
            <w:r>
              <w:rPr>
                <w:rFonts w:hint="default" w:ascii="Times New Roman Regular" w:hAnsi="Times New Roman Regular" w:eastAsia="PMingLiU" w:cs="Times New Roman Regular"/>
                <w:i/>
                <w:iCs/>
                <w:sz w:val="18"/>
                <w:szCs w:val="20"/>
                <w:highlight w:val="none"/>
                <w:lang w:val="zh-CN" w:eastAsia="zh-CN"/>
              </w:rPr>
              <w:t>1</w:t>
            </w:r>
            <w:r>
              <w:rPr>
                <w:rFonts w:hint="default" w:ascii="Times New Roman Regular" w:hAnsi="Times New Roman Regular" w:eastAsia="PMingLiU" w:cs="Times New Roman Regular"/>
                <w:i/>
                <w:iCs/>
                <w:sz w:val="18"/>
                <w:szCs w:val="20"/>
                <w:highlight w:val="none"/>
                <w:lang w:val="en-US"/>
              </w:rPr>
              <w:t>28, 256]</w:t>
            </w:r>
          </w:p>
        </w:tc>
      </w:tr>
      <w:tr w14:paraId="79B959A0">
        <w:tc>
          <w:tcPr>
            <w:tcW w:w="2366"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14:paraId="0AE83F68">
            <w:pPr>
              <w:pStyle w:val="76"/>
              <w:rPr>
                <w:rFonts w:hint="default" w:ascii="Times New Roman Regular" w:hAnsi="Times New Roman Regular" w:cs="Times New Roman Regular"/>
              </w:rPr>
            </w:pPr>
            <w:r>
              <w:rPr>
                <w:rFonts w:hint="default" w:ascii="Times New Roman Regular" w:hAnsi="Times New Roman Regular" w:cs="Times New Roman Regular"/>
              </w:rPr>
              <w:t>Total DL power level</w:t>
            </w:r>
          </w:p>
        </w:tc>
        <w:tc>
          <w:tcPr>
            <w:tcW w:w="1720"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0AD5297D">
            <w:pPr>
              <w:pStyle w:val="76"/>
              <w:rPr>
                <w:rFonts w:hint="default" w:ascii="Times New Roman Regular" w:hAnsi="Times New Roman Regular" w:cs="Times New Roman Regular"/>
              </w:rPr>
            </w:pPr>
            <w:r>
              <w:rPr>
                <w:rFonts w:hint="default" w:ascii="Times New Roman Regular" w:hAnsi="Times New Roman Regular" w:cs="Times New Roman Regular"/>
              </w:rPr>
              <w:t>55 dBm</w:t>
            </w:r>
          </w:p>
        </w:tc>
        <w:tc>
          <w:tcPr>
            <w:tcW w:w="1729"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17F1B8BE">
            <w:pPr>
              <w:pStyle w:val="76"/>
              <w:rPr>
                <w:rFonts w:hint="default" w:ascii="Times New Roman Regular" w:hAnsi="Times New Roman Regular" w:cs="Times New Roman Regular"/>
                <w:lang w:eastAsia="zh-CN"/>
              </w:rPr>
            </w:pPr>
            <w:r>
              <w:rPr>
                <w:rFonts w:hint="default" w:ascii="Times New Roman Regular" w:hAnsi="Times New Roman Regular" w:cs="Times New Roman Regular"/>
                <w:lang w:eastAsia="zh-CN"/>
              </w:rPr>
              <w:t>49 dBm</w:t>
            </w:r>
          </w:p>
        </w:tc>
        <w:tc>
          <w:tcPr>
            <w:tcW w:w="1685"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514ABA91">
            <w:pPr>
              <w:pStyle w:val="76"/>
              <w:rPr>
                <w:rFonts w:hint="default" w:ascii="Times New Roman Regular" w:hAnsi="Times New Roman Regular" w:cs="Times New Roman Regular"/>
                <w:lang w:eastAsia="zh-CN"/>
              </w:rPr>
            </w:pPr>
            <w:r>
              <w:rPr>
                <w:rFonts w:hint="default" w:ascii="Times New Roman Regular" w:hAnsi="Times New Roman Regular" w:cs="Times New Roman Regular"/>
                <w:lang w:eastAsia="zh-CN"/>
              </w:rPr>
              <w:t>33 dBm*</w:t>
            </w:r>
          </w:p>
        </w:tc>
        <w:tc>
          <w:tcPr>
            <w:tcW w:w="1923"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top"/>
          </w:tcPr>
          <w:p w14:paraId="34F413FF">
            <w:pPr>
              <w:keepNext/>
              <w:keepLines/>
              <w:widowControl w:val="0"/>
              <w:spacing w:line="256" w:lineRule="auto"/>
              <w:rPr>
                <w:rFonts w:hint="default" w:ascii="Times New Roman Regular" w:hAnsi="Times New Roman Regular" w:cs="Times New Roman Regular"/>
                <w:i/>
                <w:iCs/>
                <w:lang w:eastAsia="zh-CN"/>
              </w:rPr>
            </w:pPr>
            <w:r>
              <w:rPr>
                <w:rFonts w:hint="default" w:ascii="Times New Roman Regular" w:hAnsi="Times New Roman Regular" w:eastAsia="PMingLiU" w:cs="Times New Roman Regular"/>
                <w:i/>
                <w:iCs/>
                <w:sz w:val="18"/>
                <w:szCs w:val="20"/>
                <w:lang w:val="en-US"/>
              </w:rPr>
              <w:t>[</w:t>
            </w:r>
            <w:r>
              <w:rPr>
                <w:rFonts w:hint="default" w:ascii="Times New Roman Regular" w:hAnsi="Times New Roman Regular" w:eastAsia="PMingLiU" w:cs="Times New Roman Regular"/>
                <w:i/>
                <w:iCs/>
                <w:sz w:val="18"/>
                <w:szCs w:val="20"/>
                <w:lang w:val="zh-CN" w:eastAsia="zh-CN"/>
              </w:rPr>
              <w:t>56</w:t>
            </w:r>
            <w:r>
              <w:rPr>
                <w:rFonts w:hint="default" w:ascii="Times New Roman Regular" w:hAnsi="Times New Roman Regular" w:eastAsia="PMingLiU" w:cs="Times New Roman Regular"/>
                <w:i/>
                <w:iCs/>
                <w:sz w:val="18"/>
                <w:szCs w:val="20"/>
                <w:lang w:val="en-US"/>
              </w:rPr>
              <w:t>]</w:t>
            </w:r>
            <w:r>
              <w:rPr>
                <w:rFonts w:hint="default" w:ascii="Times New Roman Regular" w:hAnsi="Times New Roman Regular" w:eastAsia="PMingLiU" w:cs="Times New Roman Regular"/>
                <w:i/>
                <w:iCs/>
                <w:sz w:val="18"/>
                <w:szCs w:val="20"/>
                <w:lang w:val="zh-CN" w:eastAsia="zh-CN"/>
              </w:rPr>
              <w:t xml:space="preserve"> dBm</w:t>
            </w:r>
          </w:p>
        </w:tc>
      </w:tr>
      <w:tr w14:paraId="640FAC18">
        <w:tc>
          <w:tcPr>
            <w:tcW w:w="2366" w:type="dxa"/>
            <w:tcBorders>
              <w:top w:val="nil"/>
              <w:left w:val="single" w:color="auto" w:sz="8" w:space="0"/>
              <w:bottom w:val="single" w:color="auto" w:sz="4" w:space="0"/>
              <w:right w:val="single" w:color="auto" w:sz="8" w:space="0"/>
            </w:tcBorders>
            <w:shd w:val="clear" w:color="auto" w:fill="auto"/>
            <w:tcMar>
              <w:top w:w="0" w:type="dxa"/>
              <w:left w:w="108" w:type="dxa"/>
              <w:bottom w:w="0" w:type="dxa"/>
              <w:right w:w="108" w:type="dxa"/>
            </w:tcMar>
          </w:tcPr>
          <w:p w14:paraId="5FD12EAA">
            <w:pPr>
              <w:pStyle w:val="76"/>
              <w:rPr>
                <w:rFonts w:hint="default" w:ascii="Times New Roman Regular" w:hAnsi="Times New Roman Regular" w:cs="Times New Roman Regular"/>
                <w:highlight w:val="none"/>
              </w:rPr>
            </w:pPr>
            <w:r>
              <w:rPr>
                <w:rFonts w:hint="default" w:ascii="Times New Roman Regular" w:hAnsi="Times New Roman Regular" w:cs="Times New Roman Regular"/>
                <w:highlight w:val="none"/>
              </w:rPr>
              <w:t>Total number of UL Rx RUs</w:t>
            </w:r>
          </w:p>
        </w:tc>
        <w:tc>
          <w:tcPr>
            <w:tcW w:w="1720" w:type="dxa"/>
            <w:tcBorders>
              <w:top w:val="nil"/>
              <w:left w:val="nil"/>
              <w:bottom w:val="single" w:color="auto" w:sz="4" w:space="0"/>
              <w:right w:val="single" w:color="auto" w:sz="8" w:space="0"/>
            </w:tcBorders>
            <w:shd w:val="clear" w:color="auto" w:fill="auto"/>
            <w:tcMar>
              <w:top w:w="0" w:type="dxa"/>
              <w:left w:w="108" w:type="dxa"/>
              <w:bottom w:w="0" w:type="dxa"/>
              <w:right w:w="108" w:type="dxa"/>
            </w:tcMar>
          </w:tcPr>
          <w:p w14:paraId="76F81369">
            <w:pPr>
              <w:pStyle w:val="76"/>
              <w:rPr>
                <w:rFonts w:hint="default" w:ascii="Times New Roman Regular" w:hAnsi="Times New Roman Regular" w:cs="Times New Roman Regular"/>
                <w:highlight w:val="none"/>
              </w:rPr>
            </w:pPr>
            <w:r>
              <w:rPr>
                <w:rFonts w:hint="default" w:ascii="Times New Roman Regular" w:hAnsi="Times New Roman Regular" w:cs="Times New Roman Regular"/>
                <w:highlight w:val="none"/>
              </w:rPr>
              <w:t>64</w:t>
            </w:r>
          </w:p>
        </w:tc>
        <w:tc>
          <w:tcPr>
            <w:tcW w:w="1729" w:type="dxa"/>
            <w:tcBorders>
              <w:top w:val="nil"/>
              <w:left w:val="nil"/>
              <w:bottom w:val="single" w:color="auto" w:sz="4" w:space="0"/>
              <w:right w:val="single" w:color="auto" w:sz="8" w:space="0"/>
            </w:tcBorders>
            <w:shd w:val="clear" w:color="auto" w:fill="auto"/>
            <w:tcMar>
              <w:top w:w="0" w:type="dxa"/>
              <w:left w:w="108" w:type="dxa"/>
              <w:bottom w:w="0" w:type="dxa"/>
              <w:right w:w="108" w:type="dxa"/>
            </w:tcMar>
          </w:tcPr>
          <w:p w14:paraId="260D9350">
            <w:pPr>
              <w:pStyle w:val="76"/>
              <w:rPr>
                <w:rFonts w:hint="default" w:ascii="Times New Roman Regular" w:hAnsi="Times New Roman Regular" w:cs="Times New Roman Regular"/>
                <w:highlight w:val="none"/>
                <w:lang w:eastAsia="zh-CN"/>
              </w:rPr>
            </w:pPr>
            <w:r>
              <w:rPr>
                <w:rFonts w:hint="default" w:ascii="Times New Roman Regular" w:hAnsi="Times New Roman Regular" w:cs="Times New Roman Regular"/>
                <w:highlight w:val="none"/>
                <w:lang w:eastAsia="zh-CN"/>
              </w:rPr>
              <w:t>32</w:t>
            </w:r>
          </w:p>
        </w:tc>
        <w:tc>
          <w:tcPr>
            <w:tcW w:w="1685" w:type="dxa"/>
            <w:tcBorders>
              <w:top w:val="nil"/>
              <w:left w:val="nil"/>
              <w:bottom w:val="single" w:color="auto" w:sz="4" w:space="0"/>
              <w:right w:val="single" w:color="auto" w:sz="8" w:space="0"/>
            </w:tcBorders>
            <w:shd w:val="clear" w:color="auto" w:fill="auto"/>
            <w:tcMar>
              <w:top w:w="0" w:type="dxa"/>
              <w:left w:w="108" w:type="dxa"/>
              <w:bottom w:w="0" w:type="dxa"/>
              <w:right w:w="108" w:type="dxa"/>
            </w:tcMar>
          </w:tcPr>
          <w:p w14:paraId="71D93AC0">
            <w:pPr>
              <w:pStyle w:val="76"/>
              <w:rPr>
                <w:rFonts w:hint="default" w:ascii="Times New Roman Regular" w:hAnsi="Times New Roman Regular" w:cs="Times New Roman Regular"/>
                <w:highlight w:val="none"/>
              </w:rPr>
            </w:pPr>
            <w:r>
              <w:rPr>
                <w:rFonts w:hint="default" w:ascii="Times New Roman Regular" w:hAnsi="Times New Roman Regular" w:cs="Times New Roman Regular"/>
                <w:highlight w:val="none"/>
              </w:rPr>
              <w:t>2</w:t>
            </w:r>
          </w:p>
        </w:tc>
        <w:tc>
          <w:tcPr>
            <w:tcW w:w="1923" w:type="dxa"/>
            <w:tcBorders>
              <w:top w:val="nil"/>
              <w:left w:val="nil"/>
              <w:bottom w:val="single" w:color="auto" w:sz="4" w:space="0"/>
              <w:right w:val="single" w:color="auto" w:sz="8" w:space="0"/>
            </w:tcBorders>
            <w:shd w:val="clear" w:color="auto" w:fill="auto"/>
            <w:tcMar>
              <w:top w:w="0" w:type="dxa"/>
              <w:left w:w="108" w:type="dxa"/>
              <w:bottom w:w="0" w:type="dxa"/>
              <w:right w:w="108" w:type="dxa"/>
            </w:tcMar>
            <w:vAlign w:val="top"/>
          </w:tcPr>
          <w:p w14:paraId="01BDCD7E">
            <w:pPr>
              <w:keepNext/>
              <w:keepLines/>
              <w:widowControl w:val="0"/>
              <w:spacing w:line="256" w:lineRule="auto"/>
              <w:rPr>
                <w:rFonts w:hint="default" w:ascii="Times New Roman Regular" w:hAnsi="Times New Roman Regular" w:cs="Times New Roman Regular"/>
                <w:i/>
                <w:iCs/>
                <w:highlight w:val="none"/>
              </w:rPr>
            </w:pPr>
            <w:r>
              <w:rPr>
                <w:rFonts w:hint="default" w:ascii="Times New Roman Regular" w:hAnsi="Times New Roman Regular" w:eastAsia="PMingLiU" w:cs="Times New Roman Regular"/>
                <w:i/>
                <w:iCs/>
                <w:sz w:val="18"/>
                <w:szCs w:val="20"/>
                <w:highlight w:val="none"/>
                <w:lang w:val="en-US"/>
              </w:rPr>
              <w:t>[</w:t>
            </w:r>
            <w:r>
              <w:rPr>
                <w:rFonts w:hint="default" w:ascii="Times New Roman Regular" w:hAnsi="Times New Roman Regular" w:eastAsia="PMingLiU" w:cs="Times New Roman Regular"/>
                <w:i/>
                <w:iCs/>
                <w:sz w:val="18"/>
                <w:szCs w:val="20"/>
                <w:highlight w:val="none"/>
                <w:lang w:val="zh-CN" w:eastAsia="zh-CN"/>
              </w:rPr>
              <w:t>1</w:t>
            </w:r>
            <w:r>
              <w:rPr>
                <w:rFonts w:hint="default" w:ascii="Times New Roman Regular" w:hAnsi="Times New Roman Regular" w:eastAsia="PMingLiU" w:cs="Times New Roman Regular"/>
                <w:i/>
                <w:iCs/>
                <w:sz w:val="18"/>
                <w:szCs w:val="20"/>
                <w:highlight w:val="none"/>
                <w:lang w:val="en-US"/>
              </w:rPr>
              <w:t>28, 256]</w:t>
            </w:r>
          </w:p>
        </w:tc>
      </w:tr>
      <w:tr w14:paraId="7D4F6FF6">
        <w:tc>
          <w:tcPr>
            <w:tcW w:w="9423" w:type="dxa"/>
            <w:gridSpan w:val="5"/>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14:paraId="27D37B3A">
            <w:pPr>
              <w:pStyle w:val="79"/>
              <w:rPr>
                <w:rFonts w:hint="default" w:ascii="Times New Roman Regular" w:hAnsi="Times New Roman Regular" w:cs="Times New Roman Regular"/>
                <w:lang w:eastAsia="zh-CN"/>
              </w:rPr>
            </w:pPr>
            <w:r>
              <w:rPr>
                <w:rFonts w:hint="default" w:ascii="Times New Roman Regular" w:hAnsi="Times New Roman Regular" w:cs="Times New Roman Regular"/>
                <w:lang w:eastAsia="zh-CN"/>
              </w:rPr>
              <w:t>*Note: EIRP limit is 63 dBm for the reference configuration. The EIRP value is scaled with the number of TxRUs.</w:t>
            </w:r>
          </w:p>
        </w:tc>
      </w:tr>
    </w:tbl>
    <w:p w14:paraId="1CA02451">
      <w:pPr>
        <w:pStyle w:val="5"/>
      </w:pPr>
    </w:p>
    <w:p w14:paraId="380A1088">
      <w:pPr>
        <w:pStyle w:val="5"/>
        <w:rPr>
          <w:sz w:val="22"/>
          <w:szCs w:val="22"/>
        </w:rPr>
      </w:pPr>
      <w:r>
        <w:rPr>
          <w:sz w:val="22"/>
          <w:szCs w:val="22"/>
        </w:rPr>
        <w:t>The new Set 4 around 7 GHz features significantly wider channel bandwidth and a much larger antenna array than the FR1/FR2 reference sets. In particular, to combat the ~6–12 dB higher path loss at ~7–8 GHz versus 3.5 GHz, Set 4 assumes on the order of 128–256 transmit/receive antenna units (vs. ≤64 in FR1). Such an array (e.g. 256T256R at ~8 GHz) can be accommodated in a similar form factor to a 64T64R panel at 3.5 GHz due to the shorter wavelength, yielding ~6 dB higher beamforming gain to roughly preserve cell coverage. The larger available bandwidth in FR3 (up to hundreds of MHz per operator) will allow 6G networks to substantially boost capacity, though at the cost of increased RF chain count and power – highlighting the need for advanced energy-saving techniques in these bands.</w:t>
      </w:r>
    </w:p>
    <w:p w14:paraId="38AD978A">
      <w:pPr>
        <w:pStyle w:val="5"/>
      </w:pPr>
    </w:p>
    <w:p w14:paraId="6A4C28E8">
      <w:pPr>
        <w:pStyle w:val="5"/>
        <w:rPr>
          <w:rFonts w:hint="default" w:ascii="Times New Roman Bold Italic" w:hAnsi="Times New Roman Bold Italic" w:cs="Times New Roman Bold Italic"/>
          <w:b/>
          <w:bCs/>
          <w:i/>
          <w:iCs/>
          <w:sz w:val="22"/>
          <w:szCs w:val="22"/>
          <w:lang w:val="en-US" w:eastAsia="zh-CN"/>
        </w:rPr>
      </w:pPr>
      <w:r>
        <w:rPr>
          <w:rFonts w:ascii="Times New Roman Bold Italic" w:hAnsi="Times New Roman Bold Italic" w:cs="Times New Roman Bold Italic"/>
          <w:b/>
          <w:bCs/>
          <w:i/>
          <w:iCs/>
          <w:sz w:val="22"/>
          <w:szCs w:val="22"/>
          <w:lang w:eastAsia="zh-CN"/>
        </w:rPr>
        <w:t xml:space="preserve">Observation </w:t>
      </w:r>
      <w:r>
        <w:rPr>
          <w:rFonts w:hint="default" w:ascii="Times New Roman Bold Italic" w:hAnsi="Times New Roman Bold Italic" w:cs="Times New Roman Bold Italic"/>
          <w:b/>
          <w:bCs/>
          <w:i/>
          <w:iCs/>
          <w:sz w:val="22"/>
          <w:szCs w:val="22"/>
          <w:lang w:val="en-US" w:eastAsia="zh-CN"/>
        </w:rPr>
        <w:t>8</w:t>
      </w:r>
      <w:r>
        <w:rPr>
          <w:rFonts w:ascii="Times New Roman Bold Italic" w:hAnsi="Times New Roman Bold Italic" w:cs="Times New Roman Bold Italic"/>
          <w:b/>
          <w:bCs/>
          <w:i/>
          <w:iCs/>
          <w:sz w:val="22"/>
          <w:szCs w:val="22"/>
          <w:lang w:eastAsia="zh-CN"/>
        </w:rPr>
        <w:t xml:space="preserve">: </w:t>
      </w:r>
      <w:r>
        <w:rPr>
          <w:rFonts w:hint="default" w:ascii="Times New Roman Bold Italic" w:hAnsi="Times New Roman Bold Italic" w:cs="Times New Roman Bold Italic"/>
          <w:b/>
          <w:bCs/>
          <w:i/>
          <w:iCs/>
          <w:sz w:val="22"/>
          <w:szCs w:val="22"/>
          <w:lang w:val="en-US" w:eastAsia="zh-CN"/>
        </w:rPr>
        <w:t>For set 4 around 7GHz, t</w:t>
      </w:r>
      <w:r>
        <w:rPr>
          <w:rFonts w:hint="eastAsia" w:ascii="Times New Roman Bold Italic" w:hAnsi="Times New Roman Bold Italic" w:cs="Times New Roman Bold Italic"/>
          <w:b/>
          <w:bCs/>
          <w:i/>
          <w:iCs/>
          <w:sz w:val="22"/>
          <w:szCs w:val="22"/>
          <w:lang w:val="en-US" w:eastAsia="zh-CN"/>
        </w:rPr>
        <w:t>here</w:t>
      </w:r>
      <w:r>
        <w:rPr>
          <w:rFonts w:hint="default" w:ascii="Times New Roman Bold Italic" w:hAnsi="Times New Roman Bold Italic" w:cs="Times New Roman Bold Italic"/>
          <w:b/>
          <w:bCs/>
          <w:i/>
          <w:iCs/>
          <w:sz w:val="22"/>
          <w:szCs w:val="22"/>
          <w:lang w:val="en-US" w:eastAsia="zh-CN"/>
        </w:rPr>
        <w:t xml:space="preserve"> are a larger number of DL/UL RUs (e.g., [128,256]) than FR1 or FR2 (e.g., &lt;</w:t>
      </w:r>
      <w:r>
        <w:rPr>
          <w:rFonts w:hint="eastAsia" w:ascii="Times New Roman Bold Italic" w:hAnsi="Times New Roman Bold Italic" w:cs="Times New Roman Bold Italic"/>
          <w:b/>
          <w:bCs/>
          <w:i/>
          <w:iCs/>
          <w:sz w:val="22"/>
          <w:szCs w:val="22"/>
          <w:lang w:val="en-US" w:eastAsia="zh-CN"/>
        </w:rPr>
        <w:t>=64</w:t>
      </w:r>
      <w:r>
        <w:rPr>
          <w:rFonts w:hint="default" w:ascii="Times New Roman Bold Italic" w:hAnsi="Times New Roman Bold Italic" w:cs="Times New Roman Bold Italic"/>
          <w:b/>
          <w:bCs/>
          <w:i/>
          <w:iCs/>
          <w:sz w:val="22"/>
          <w:szCs w:val="22"/>
          <w:lang w:val="en-US" w:eastAsia="zh-CN"/>
        </w:rPr>
        <w:t>)</w:t>
      </w:r>
      <w:r>
        <w:rPr>
          <w:rFonts w:hint="eastAsia" w:ascii="Times New Roman Bold Italic" w:hAnsi="Times New Roman Bold Italic" w:cs="Times New Roman Bold Italic"/>
          <w:b/>
          <w:bCs/>
          <w:i/>
          <w:iCs/>
          <w:sz w:val="22"/>
          <w:szCs w:val="22"/>
          <w:lang w:val="en-US" w:eastAsia="zh-CN"/>
        </w:rPr>
        <w:t xml:space="preserve"> due</w:t>
      </w:r>
      <w:r>
        <w:rPr>
          <w:rFonts w:hint="default" w:ascii="Times New Roman Bold Italic" w:hAnsi="Times New Roman Bold Italic" w:cs="Times New Roman Bold Italic"/>
          <w:b/>
          <w:bCs/>
          <w:i/>
          <w:iCs/>
          <w:sz w:val="22"/>
          <w:szCs w:val="22"/>
          <w:lang w:val="en-US" w:eastAsia="zh-CN"/>
        </w:rPr>
        <w:t xml:space="preserve"> to </w:t>
      </w:r>
      <w:r>
        <w:rPr>
          <w:rFonts w:hint="eastAsia" w:ascii="Times New Roman Bold Italic" w:hAnsi="Times New Roman Bold Italic" w:cs="Times New Roman Bold Italic"/>
          <w:b/>
          <w:bCs/>
          <w:i/>
          <w:iCs/>
          <w:sz w:val="22"/>
          <w:szCs w:val="22"/>
          <w:lang w:val="en-US" w:eastAsia="zh-CN"/>
        </w:rPr>
        <w:t>more</w:t>
      </w:r>
      <w:r>
        <w:rPr>
          <w:rFonts w:hint="default" w:ascii="Times New Roman Bold Italic" w:hAnsi="Times New Roman Bold Italic" w:cs="Times New Roman Bold Italic"/>
          <w:b/>
          <w:bCs/>
          <w:i/>
          <w:iCs/>
          <w:sz w:val="22"/>
          <w:szCs w:val="22"/>
          <w:lang w:val="en-US" w:eastAsia="zh-CN"/>
        </w:rPr>
        <w:t xml:space="preserve"> antenna number or stream number for FR3 MIMO.</w:t>
      </w:r>
    </w:p>
    <w:p w14:paraId="11A74E75">
      <w:pPr>
        <w:pStyle w:val="5"/>
        <w:rPr>
          <w:rFonts w:hint="default" w:ascii="Times New Roman Bold Italic" w:hAnsi="Times New Roman Bold Italic" w:cs="Times New Roman Bold Italic"/>
          <w:b/>
          <w:bCs/>
          <w:i/>
          <w:iCs/>
          <w:lang w:val="en-US" w:eastAsia="zh-CN"/>
        </w:rPr>
      </w:pPr>
    </w:p>
    <w:p w14:paraId="6A863503">
      <w:pPr>
        <w:pStyle w:val="5"/>
      </w:pPr>
      <w:r>
        <w:rPr>
          <w:sz w:val="22"/>
          <w:szCs w:val="22"/>
        </w:rPr>
        <w:t>The specific parameter values for Set 4 (especially the two values X1 and X2 denoting the number of antenna units) are chosen based on practical considerations and diverse regional deployment scenarios. On the lower end, a configuration with 128 TRX might represent an initial 6G macro cell deployment in markets or environments where cost and hardware complexity are constrained. On the higher end, 256 TRX enables an “e</w:t>
      </w:r>
      <w:r>
        <w:rPr>
          <w:rFonts w:hint="eastAsia"/>
          <w:sz w:val="22"/>
          <w:szCs w:val="22"/>
          <w:lang w:val="en-US" w:eastAsia="zh-CN"/>
        </w:rPr>
        <w:t>x</w:t>
      </w:r>
      <w:r>
        <w:rPr>
          <w:sz w:val="22"/>
          <w:szCs w:val="22"/>
        </w:rPr>
        <w:t>treme MIMO” macro cell for ultra-high capacity in dense urban areas. Leading industry proposals (from Asia and Europe) anticipate on the order of 256 antenna ports in the 7–13 GHz range to fully exploit its capacity potential. For instance, Samsung’s 8 GHz trial system uses a 256T</w:t>
      </w:r>
      <w:r>
        <w:rPr>
          <w:rFonts w:hint="eastAsia"/>
          <w:sz w:val="22"/>
          <w:szCs w:val="22"/>
          <w:lang w:val="en-US" w:eastAsia="zh-CN"/>
        </w:rPr>
        <w:t xml:space="preserve"> </w:t>
      </w:r>
      <w:r>
        <w:rPr>
          <w:sz w:val="22"/>
          <w:szCs w:val="22"/>
        </w:rPr>
        <w:t xml:space="preserve">256R base station supporting up to 64 MU-MIMO layers, quadrupling the spatial multiplexing of a 64T64R, 3.5 GHz system. Ericsson similarly notes that roughly four times more half-wavelength antenna elements can fit in the same array size at ~7 GHz than at 3.5 GHz. These large arrays, combined with modest increases in total radiated power (e.g. 56 dBm vs 55 dBm in FR1), are expected to deliver comparable coverage to today’s mid-band sites. Indeed, to maintain range, the </w:t>
      </w:r>
      <w:r>
        <w:rPr>
          <w:b w:val="0"/>
          <w:bCs w:val="0"/>
          <w:sz w:val="22"/>
          <w:szCs w:val="22"/>
        </w:rPr>
        <w:t xml:space="preserve">maximum EIRP may need to be ~6 dB higher </w:t>
      </w:r>
      <w:r>
        <w:rPr>
          <w:sz w:val="22"/>
          <w:szCs w:val="22"/>
        </w:rPr>
        <w:t>for 7–8 GHz cells than for 3.5 GHz cells. The Set 4 power level of 56 dBm is a baseline that, when paired with a 256-element array, yields an EIRP on the order of 62–63 dBm – in line with regulatory limits for macro base stations. Regional regulations will ultimately determine the allowable transmit power in this band; some regions may permit higher EIRP to capitalize on FR3’s capacity, while others may impose stricter limits, in which case more antennas (toward the 256 end of the range) would be needed to compensate.</w:t>
      </w:r>
    </w:p>
    <w:p w14:paraId="05FF4B47">
      <w:pPr>
        <w:pStyle w:val="5"/>
        <w:rPr>
          <w:rFonts w:hint="default" w:ascii="Times New Roman Bold Italic" w:hAnsi="Times New Roman Bold Italic" w:eastAsia="宋体" w:cs="Times New Roman Bold Italic"/>
          <w:b/>
          <w:bCs/>
          <w:i/>
          <w:iCs/>
          <w:sz w:val="22"/>
          <w:szCs w:val="22"/>
          <w:lang w:val="en-US" w:eastAsia="zh-CN"/>
        </w:rPr>
      </w:pPr>
      <w:r>
        <w:rPr>
          <w:rFonts w:hint="default" w:ascii="Times New Roman Bold Italic" w:hAnsi="Times New Roman Bold Italic" w:cs="Times New Roman Bold Italic"/>
          <w:b/>
          <w:bCs/>
          <w:i/>
          <w:iCs/>
          <w:sz w:val="22"/>
          <w:szCs w:val="22"/>
          <w:lang w:val="en-US" w:eastAsia="zh-CN"/>
        </w:rPr>
        <w:t xml:space="preserve">Observation 9: </w:t>
      </w:r>
      <w:r>
        <w:rPr>
          <w:rFonts w:hint="eastAsia" w:ascii="Times New Roman Bold Italic" w:hAnsi="Times New Roman Bold Italic" w:cs="Times New Roman Bold Italic"/>
          <w:b/>
          <w:bCs/>
          <w:i/>
          <w:iCs/>
          <w:sz w:val="22"/>
          <w:szCs w:val="22"/>
          <w:lang w:val="en-US" w:eastAsia="zh-CN"/>
        </w:rPr>
        <w:t>For</w:t>
      </w:r>
      <w:r>
        <w:rPr>
          <w:rFonts w:hint="default" w:ascii="Times New Roman Bold Italic" w:hAnsi="Times New Roman Bold Italic" w:cs="Times New Roman Bold Italic"/>
          <w:b/>
          <w:bCs/>
          <w:i/>
          <w:iCs/>
          <w:sz w:val="22"/>
          <w:szCs w:val="22"/>
          <w:lang w:val="en-US" w:eastAsia="zh-CN"/>
        </w:rPr>
        <w:t xml:space="preserve"> set 4, a</w:t>
      </w:r>
      <w:r>
        <w:rPr>
          <w:rFonts w:hint="default" w:ascii="Times New Roman Bold Italic" w:hAnsi="Times New Roman Bold Italic" w:cs="Times New Roman Bold Italic"/>
          <w:b/>
          <w:bCs/>
          <w:i/>
          <w:iCs/>
          <w:sz w:val="22"/>
          <w:szCs w:val="22"/>
        </w:rPr>
        <w:t xml:space="preserve"> configuration with 128 TRX might represent an initial 6G macro cell deployment in markets or environments where cost and hardware complexity are constrained. On the higher end, 256 TRX enables an “eXtreme MIMO” macro cell for ultra-high capacity in dense urban areas.</w:t>
      </w:r>
      <w:r>
        <w:rPr>
          <w:rFonts w:hint="default" w:ascii="Times New Roman Bold Italic" w:hAnsi="Times New Roman Bold Italic" w:cs="Times New Roman Bold Italic"/>
          <w:b/>
          <w:bCs/>
          <w:i/>
          <w:iCs/>
          <w:sz w:val="22"/>
          <w:szCs w:val="22"/>
          <w:lang w:val="en-US" w:eastAsia="zh-CN"/>
        </w:rPr>
        <w:t xml:space="preserve"> </w:t>
      </w:r>
    </w:p>
    <w:p w14:paraId="587B6131">
      <w:pPr>
        <w:pStyle w:val="5"/>
        <w:rPr>
          <w:rFonts w:hint="default" w:ascii="Times New Roman Bold Italic" w:hAnsi="Times New Roman Bold Italic" w:cs="Times New Roman Bold Italic"/>
          <w:b/>
          <w:bCs/>
          <w:i/>
          <w:iCs/>
          <w:lang w:val="en-US" w:eastAsia="zh-CN"/>
        </w:rPr>
      </w:pPr>
    </w:p>
    <w:p w14:paraId="43ADDCF3">
      <w:pPr>
        <w:pStyle w:val="5"/>
        <w:rPr>
          <w:rFonts w:hint="default" w:ascii="Times New Roman" w:hAnsi="Times New Roman" w:eastAsia="宋体" w:cs="Times New Roman"/>
          <w:sz w:val="22"/>
          <w:szCs w:val="22"/>
          <w:lang w:val="en-US" w:eastAsia="zh-CN"/>
        </w:rPr>
      </w:pPr>
      <w:r>
        <w:rPr>
          <w:rFonts w:hint="default" w:ascii="Times New Roman" w:hAnsi="Times New Roman" w:eastAsia="宋体" w:cs="Times New Roman"/>
          <w:sz w:val="22"/>
          <w:szCs w:val="22"/>
          <w:lang w:val="en-US" w:eastAsia="zh-CN"/>
        </w:rPr>
        <w:t>Based on analysis above, from our perspective, following configuration is recommended for further study or analysis.</w:t>
      </w:r>
    </w:p>
    <w:p w14:paraId="16E1840B">
      <w:pPr>
        <w:pStyle w:val="5"/>
        <w:jc w:val="center"/>
      </w:pPr>
      <w:r>
        <w:rPr>
          <w:rFonts w:hint="default" w:ascii="Times New Roman" w:hAnsi="Times New Roman" w:eastAsia="宋体" w:cs="Times New Roman"/>
          <w:sz w:val="22"/>
          <w:szCs w:val="22"/>
          <w:lang w:val="en-US" w:eastAsia="zh-CN"/>
        </w:rPr>
        <w:t xml:space="preserve"> </w:t>
      </w:r>
      <w:r>
        <w:rPr>
          <w:i/>
          <w:iCs/>
        </w:rPr>
        <w:t xml:space="preserve">Table </w:t>
      </w:r>
      <w:r>
        <w:rPr>
          <w:rFonts w:hint="default"/>
          <w:i/>
          <w:iCs/>
          <w:lang w:val="en-US"/>
        </w:rPr>
        <w:t>1-1</w:t>
      </w:r>
      <w:r>
        <w:rPr>
          <w:i/>
          <w:iCs/>
        </w:rPr>
        <w:t>: BS Reference Configurations</w:t>
      </w:r>
      <w:r>
        <w:rPr>
          <w:rFonts w:hint="eastAsia"/>
          <w:i/>
          <w:iCs/>
          <w:lang w:val="en-US" w:eastAsia="zh-CN"/>
        </w:rPr>
        <w:t xml:space="preserve"> based</w:t>
      </w:r>
      <w:r>
        <w:rPr>
          <w:rFonts w:hint="default"/>
          <w:i/>
          <w:iCs/>
          <w:lang w:val="en-US" w:eastAsia="zh-CN"/>
        </w:rPr>
        <w:t xml:space="preserve"> on TS 38.864 and [3]</w:t>
      </w:r>
      <w:r>
        <w:rPr>
          <w:i/>
          <w:iCs/>
        </w:rPr>
        <w:t>.</w:t>
      </w:r>
    </w:p>
    <w:tbl>
      <w:tblPr>
        <w:tblStyle w:val="27"/>
        <w:tblW w:w="9423" w:type="dxa"/>
        <w:tblInd w:w="108" w:type="dxa"/>
        <w:tblLayout w:type="autofit"/>
        <w:tblCellMar>
          <w:top w:w="0" w:type="dxa"/>
          <w:left w:w="0" w:type="dxa"/>
          <w:bottom w:w="0" w:type="dxa"/>
          <w:right w:w="0" w:type="dxa"/>
        </w:tblCellMar>
      </w:tblPr>
      <w:tblGrid>
        <w:gridCol w:w="2366"/>
        <w:gridCol w:w="1720"/>
        <w:gridCol w:w="1729"/>
        <w:gridCol w:w="1685"/>
        <w:gridCol w:w="1923"/>
      </w:tblGrid>
      <w:tr w14:paraId="76DC43D9">
        <w:tc>
          <w:tcPr>
            <w:tcW w:w="2366"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14:paraId="2BAD010C">
            <w:pPr>
              <w:pStyle w:val="77"/>
              <w:rPr>
                <w:lang w:eastAsia="zh-CN"/>
              </w:rPr>
            </w:pPr>
          </w:p>
        </w:tc>
        <w:tc>
          <w:tcPr>
            <w:tcW w:w="172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14:paraId="6655754A">
            <w:pPr>
              <w:pStyle w:val="77"/>
            </w:pPr>
            <w:r>
              <w:t>Set 1 FR1</w:t>
            </w:r>
          </w:p>
        </w:tc>
        <w:tc>
          <w:tcPr>
            <w:tcW w:w="1729"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14:paraId="1A28F55A">
            <w:pPr>
              <w:pStyle w:val="77"/>
            </w:pPr>
            <w:r>
              <w:t>Set 2 FR1</w:t>
            </w:r>
          </w:p>
        </w:tc>
        <w:tc>
          <w:tcPr>
            <w:tcW w:w="1685"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14:paraId="292902A0">
            <w:pPr>
              <w:pStyle w:val="77"/>
            </w:pPr>
            <w:r>
              <w:t>Set 3 FR2</w:t>
            </w:r>
          </w:p>
        </w:tc>
        <w:tc>
          <w:tcPr>
            <w:tcW w:w="192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top"/>
          </w:tcPr>
          <w:p w14:paraId="260BA7BF">
            <w:pPr>
              <w:keepNext/>
              <w:keepLines/>
              <w:widowControl w:val="0"/>
              <w:tabs>
                <w:tab w:val="left" w:pos="720"/>
              </w:tabs>
              <w:spacing w:line="256" w:lineRule="auto"/>
              <w:rPr>
                <w:rFonts w:hint="default" w:ascii="Times New Roman Regular" w:hAnsi="Times New Roman Regular" w:cs="Times New Roman Regular"/>
                <w:i/>
                <w:iCs/>
                <w:lang w:val="en-US"/>
              </w:rPr>
            </w:pPr>
            <w:r>
              <w:rPr>
                <w:rFonts w:hint="default" w:ascii="Times New Roman Regular" w:hAnsi="Times New Roman Regular" w:eastAsia="PMingLiU" w:cs="Times New Roman Regular"/>
                <w:b/>
                <w:bCs/>
                <w:i/>
                <w:iCs/>
                <w:color w:val="FF0000"/>
                <w:sz w:val="18"/>
                <w:szCs w:val="20"/>
                <w:lang w:val="en-US" w:eastAsia="zh-CN"/>
              </w:rPr>
              <w:t xml:space="preserve">Set 4 around 7 GHz </w:t>
            </w:r>
          </w:p>
        </w:tc>
      </w:tr>
      <w:tr w14:paraId="0183B4E9">
        <w:tc>
          <w:tcPr>
            <w:tcW w:w="2366"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14:paraId="5C6733EC">
            <w:pPr>
              <w:pStyle w:val="76"/>
              <w:rPr>
                <w:rFonts w:hint="default" w:ascii="Times New Roman Regular" w:hAnsi="Times New Roman Regular" w:cs="Times New Roman Regular"/>
              </w:rPr>
            </w:pPr>
            <w:r>
              <w:rPr>
                <w:rFonts w:hint="default" w:ascii="Times New Roman Regular" w:hAnsi="Times New Roman Regular" w:cs="Times New Roman Regular"/>
              </w:rPr>
              <w:t>Duplex</w:t>
            </w:r>
          </w:p>
        </w:tc>
        <w:tc>
          <w:tcPr>
            <w:tcW w:w="1720"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6D608A1A">
            <w:pPr>
              <w:pStyle w:val="76"/>
              <w:rPr>
                <w:rFonts w:hint="default" w:ascii="Times New Roman Regular" w:hAnsi="Times New Roman Regular" w:cs="Times New Roman Regular"/>
              </w:rPr>
            </w:pPr>
            <w:r>
              <w:rPr>
                <w:rFonts w:hint="default" w:ascii="Times New Roman Regular" w:hAnsi="Times New Roman Regular" w:cs="Times New Roman Regular"/>
              </w:rPr>
              <w:t>TDD</w:t>
            </w:r>
          </w:p>
        </w:tc>
        <w:tc>
          <w:tcPr>
            <w:tcW w:w="1729"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3CC0AC45">
            <w:pPr>
              <w:pStyle w:val="76"/>
              <w:rPr>
                <w:rFonts w:hint="default" w:ascii="Times New Roman Regular" w:hAnsi="Times New Roman Regular" w:cs="Times New Roman Regular"/>
              </w:rPr>
            </w:pPr>
            <w:r>
              <w:rPr>
                <w:rFonts w:hint="default" w:ascii="Times New Roman Regular" w:hAnsi="Times New Roman Regular" w:cs="Times New Roman Regular"/>
              </w:rPr>
              <w:t>FDD</w:t>
            </w:r>
          </w:p>
        </w:tc>
        <w:tc>
          <w:tcPr>
            <w:tcW w:w="1685"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380C0507">
            <w:pPr>
              <w:pStyle w:val="76"/>
              <w:rPr>
                <w:rFonts w:hint="default" w:ascii="Times New Roman Regular" w:hAnsi="Times New Roman Regular" w:cs="Times New Roman Regular"/>
              </w:rPr>
            </w:pPr>
            <w:r>
              <w:rPr>
                <w:rFonts w:hint="default" w:ascii="Times New Roman Regular" w:hAnsi="Times New Roman Regular" w:cs="Times New Roman Regular"/>
              </w:rPr>
              <w:t>TDD</w:t>
            </w:r>
          </w:p>
        </w:tc>
        <w:tc>
          <w:tcPr>
            <w:tcW w:w="1923"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top"/>
          </w:tcPr>
          <w:p w14:paraId="7DDEFEA6">
            <w:pPr>
              <w:keepNext/>
              <w:keepLines/>
              <w:widowControl w:val="0"/>
              <w:spacing w:line="256" w:lineRule="auto"/>
              <w:rPr>
                <w:rFonts w:hint="default" w:ascii="Times New Roman Regular" w:hAnsi="Times New Roman Regular" w:cs="Times New Roman Regular"/>
                <w:i/>
                <w:iCs/>
                <w:color w:val="FF0000"/>
              </w:rPr>
            </w:pPr>
            <w:r>
              <w:rPr>
                <w:rFonts w:hint="default" w:ascii="Times New Roman Regular" w:hAnsi="Times New Roman Regular" w:eastAsia="PMingLiU" w:cs="Times New Roman Regular"/>
                <w:i/>
                <w:iCs/>
                <w:color w:val="FF0000"/>
                <w:sz w:val="18"/>
                <w:szCs w:val="20"/>
                <w:lang w:val="zh-CN" w:eastAsia="zh-CN"/>
              </w:rPr>
              <w:t>TDD</w:t>
            </w:r>
          </w:p>
        </w:tc>
      </w:tr>
      <w:tr w14:paraId="69886292">
        <w:tc>
          <w:tcPr>
            <w:tcW w:w="2366"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14:paraId="5B6DE409">
            <w:pPr>
              <w:pStyle w:val="76"/>
              <w:rPr>
                <w:rFonts w:hint="default" w:ascii="Times New Roman Regular" w:hAnsi="Times New Roman Regular" w:cs="Times New Roman Regular"/>
              </w:rPr>
            </w:pPr>
            <w:r>
              <w:rPr>
                <w:rFonts w:hint="default" w:ascii="Times New Roman Regular" w:hAnsi="Times New Roman Regular" w:cs="Times New Roman Regular"/>
              </w:rPr>
              <w:t>System BW</w:t>
            </w:r>
          </w:p>
        </w:tc>
        <w:tc>
          <w:tcPr>
            <w:tcW w:w="1720"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2350C916">
            <w:pPr>
              <w:pStyle w:val="76"/>
              <w:rPr>
                <w:rFonts w:hint="default" w:ascii="Times New Roman Regular" w:hAnsi="Times New Roman Regular" w:cs="Times New Roman Regular"/>
              </w:rPr>
            </w:pPr>
            <w:r>
              <w:rPr>
                <w:rFonts w:hint="default" w:ascii="Times New Roman Regular" w:hAnsi="Times New Roman Regular" w:cs="Times New Roman Regular"/>
              </w:rPr>
              <w:t>100 MHz</w:t>
            </w:r>
          </w:p>
        </w:tc>
        <w:tc>
          <w:tcPr>
            <w:tcW w:w="1729"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21FF2499">
            <w:pPr>
              <w:pStyle w:val="76"/>
              <w:rPr>
                <w:rFonts w:hint="default" w:ascii="Times New Roman Regular" w:hAnsi="Times New Roman Regular" w:cs="Times New Roman Regular"/>
              </w:rPr>
            </w:pPr>
            <w:r>
              <w:rPr>
                <w:rFonts w:hint="default" w:ascii="Times New Roman Regular" w:hAnsi="Times New Roman Regular" w:cs="Times New Roman Regular"/>
              </w:rPr>
              <w:t>20 MHz</w:t>
            </w:r>
          </w:p>
        </w:tc>
        <w:tc>
          <w:tcPr>
            <w:tcW w:w="1685"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25FE2EE7">
            <w:pPr>
              <w:pStyle w:val="76"/>
              <w:rPr>
                <w:rFonts w:hint="default" w:ascii="Times New Roman Regular" w:hAnsi="Times New Roman Regular" w:cs="Times New Roman Regular"/>
              </w:rPr>
            </w:pPr>
            <w:r>
              <w:rPr>
                <w:rFonts w:hint="default" w:ascii="Times New Roman Regular" w:hAnsi="Times New Roman Regular" w:cs="Times New Roman Regular"/>
              </w:rPr>
              <w:t>100</w:t>
            </w:r>
            <w:r>
              <w:rPr>
                <w:rFonts w:hint="default" w:ascii="Times New Roman Regular" w:hAnsi="Times New Roman Regular" w:cs="Times New Roman Regular"/>
                <w:color w:val="FF0000"/>
              </w:rPr>
              <w:t xml:space="preserve"> </w:t>
            </w:r>
            <w:r>
              <w:rPr>
                <w:rFonts w:hint="default" w:ascii="Times New Roman Regular" w:hAnsi="Times New Roman Regular" w:cs="Times New Roman Regular"/>
              </w:rPr>
              <w:t>MHz</w:t>
            </w:r>
          </w:p>
        </w:tc>
        <w:tc>
          <w:tcPr>
            <w:tcW w:w="1923"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top"/>
          </w:tcPr>
          <w:p w14:paraId="36A38206">
            <w:pPr>
              <w:keepNext/>
              <w:keepLines/>
              <w:widowControl w:val="0"/>
              <w:spacing w:line="256" w:lineRule="auto"/>
              <w:rPr>
                <w:rFonts w:hint="default" w:ascii="Times New Roman Regular" w:hAnsi="Times New Roman Regular" w:cs="Times New Roman Regular"/>
                <w:i/>
                <w:iCs/>
                <w:color w:val="FF0000"/>
              </w:rPr>
            </w:pPr>
            <w:r>
              <w:rPr>
                <w:rFonts w:hint="default" w:ascii="Times New Roman Regular" w:hAnsi="Times New Roman Regular" w:eastAsia="PMingLiU" w:cs="Times New Roman Regular"/>
                <w:i/>
                <w:iCs/>
                <w:strike/>
                <w:dstrike w:val="0"/>
                <w:sz w:val="18"/>
                <w:szCs w:val="20"/>
                <w:lang w:val="en-US"/>
              </w:rPr>
              <w:t>[</w:t>
            </w:r>
            <w:r>
              <w:rPr>
                <w:rFonts w:hint="default" w:ascii="Times New Roman Regular" w:hAnsi="Times New Roman Regular" w:eastAsia="PMingLiU" w:cs="Times New Roman Regular"/>
                <w:i/>
                <w:iCs/>
                <w:strike/>
                <w:dstrike w:val="0"/>
                <w:sz w:val="18"/>
                <w:szCs w:val="20"/>
                <w:lang w:val="zh-CN" w:eastAsia="zh-CN"/>
              </w:rPr>
              <w:t>1</w:t>
            </w:r>
            <w:r>
              <w:rPr>
                <w:rFonts w:hint="default" w:ascii="Times New Roman Regular" w:hAnsi="Times New Roman Regular" w:eastAsia="PMingLiU" w:cs="Times New Roman Regular"/>
                <w:i/>
                <w:iCs/>
                <w:strike/>
                <w:dstrike w:val="0"/>
                <w:sz w:val="18"/>
                <w:szCs w:val="20"/>
                <w:lang w:val="en-US"/>
              </w:rPr>
              <w:t>0</w:t>
            </w:r>
            <w:r>
              <w:rPr>
                <w:rFonts w:hint="default" w:ascii="Times New Roman Regular" w:hAnsi="Times New Roman Regular" w:eastAsia="PMingLiU" w:cs="Times New Roman Regular"/>
                <w:i/>
                <w:iCs/>
                <w:strike/>
                <w:dstrike w:val="0"/>
                <w:sz w:val="18"/>
                <w:szCs w:val="20"/>
                <w:lang w:val="zh-CN" w:eastAsia="zh-CN"/>
              </w:rPr>
              <w:t>0</w:t>
            </w:r>
            <w:r>
              <w:rPr>
                <w:rFonts w:hint="default" w:ascii="Times New Roman Regular" w:hAnsi="Times New Roman Regular" w:eastAsia="PMingLiU" w:cs="Times New Roman Regular"/>
                <w:i/>
                <w:iCs/>
                <w:strike/>
                <w:dstrike w:val="0"/>
                <w:sz w:val="18"/>
                <w:szCs w:val="20"/>
                <w:lang w:val="en-US"/>
              </w:rPr>
              <w:t xml:space="preserve">, </w:t>
            </w:r>
            <w:r>
              <w:rPr>
                <w:rFonts w:hint="default" w:ascii="Times New Roman Regular" w:hAnsi="Times New Roman Regular" w:eastAsia="PMingLiU" w:cs="Times New Roman Regular"/>
                <w:i/>
                <w:iCs/>
                <w:color w:val="FF0000"/>
                <w:sz w:val="18"/>
                <w:szCs w:val="20"/>
                <w:lang w:val="en-US"/>
              </w:rPr>
              <w:t>200</w:t>
            </w:r>
            <w:r>
              <w:rPr>
                <w:rFonts w:hint="default" w:ascii="Times New Roman Regular" w:hAnsi="Times New Roman Regular" w:eastAsia="PMingLiU" w:cs="Times New Roman Regular"/>
                <w:i/>
                <w:iCs/>
                <w:strike/>
                <w:dstrike w:val="0"/>
                <w:sz w:val="18"/>
                <w:szCs w:val="20"/>
                <w:lang w:val="en-US"/>
              </w:rPr>
              <w:t>, 400]</w:t>
            </w:r>
            <w:r>
              <w:rPr>
                <w:rFonts w:hint="default" w:ascii="Times New Roman Regular" w:hAnsi="Times New Roman Regular" w:eastAsia="PMingLiU" w:cs="Times New Roman Regular"/>
                <w:i/>
                <w:iCs/>
                <w:strike/>
                <w:dstrike w:val="0"/>
                <w:sz w:val="18"/>
                <w:szCs w:val="20"/>
                <w:lang w:val="zh-CN" w:eastAsia="zh-CN"/>
              </w:rPr>
              <w:t xml:space="preserve"> </w:t>
            </w:r>
            <w:r>
              <w:rPr>
                <w:rFonts w:hint="default" w:ascii="Times New Roman Regular" w:hAnsi="Times New Roman Regular" w:eastAsia="PMingLiU" w:cs="Times New Roman Regular"/>
                <w:i/>
                <w:iCs/>
                <w:color w:val="FF0000"/>
                <w:sz w:val="18"/>
                <w:szCs w:val="20"/>
                <w:lang w:val="zh-CN" w:eastAsia="zh-CN"/>
              </w:rPr>
              <w:t xml:space="preserve">MHz </w:t>
            </w:r>
          </w:p>
        </w:tc>
      </w:tr>
      <w:tr w14:paraId="08C1621C">
        <w:tc>
          <w:tcPr>
            <w:tcW w:w="2366"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14:paraId="08C0059E">
            <w:pPr>
              <w:pStyle w:val="76"/>
              <w:rPr>
                <w:rFonts w:hint="default" w:ascii="Times New Roman Regular" w:hAnsi="Times New Roman Regular" w:cs="Times New Roman Regular"/>
              </w:rPr>
            </w:pPr>
            <w:r>
              <w:rPr>
                <w:rFonts w:hint="default" w:ascii="Times New Roman Regular" w:hAnsi="Times New Roman Regular" w:cs="Times New Roman Regular"/>
              </w:rPr>
              <w:t>SCS</w:t>
            </w:r>
          </w:p>
        </w:tc>
        <w:tc>
          <w:tcPr>
            <w:tcW w:w="1720"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264A4877">
            <w:pPr>
              <w:pStyle w:val="76"/>
              <w:rPr>
                <w:rFonts w:hint="default" w:ascii="Times New Roman Regular" w:hAnsi="Times New Roman Regular" w:cs="Times New Roman Regular"/>
              </w:rPr>
            </w:pPr>
            <w:r>
              <w:rPr>
                <w:rFonts w:hint="default" w:ascii="Times New Roman Regular" w:hAnsi="Times New Roman Regular" w:cs="Times New Roman Regular"/>
              </w:rPr>
              <w:t>30 kHz</w:t>
            </w:r>
          </w:p>
        </w:tc>
        <w:tc>
          <w:tcPr>
            <w:tcW w:w="1729"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74F42E9A">
            <w:pPr>
              <w:pStyle w:val="76"/>
              <w:rPr>
                <w:rFonts w:hint="default" w:ascii="Times New Roman Regular" w:hAnsi="Times New Roman Regular" w:cs="Times New Roman Regular"/>
              </w:rPr>
            </w:pPr>
            <w:r>
              <w:rPr>
                <w:rFonts w:hint="default" w:ascii="Times New Roman Regular" w:hAnsi="Times New Roman Regular" w:cs="Times New Roman Regular"/>
              </w:rPr>
              <w:t>15 kHz</w:t>
            </w:r>
          </w:p>
        </w:tc>
        <w:tc>
          <w:tcPr>
            <w:tcW w:w="1685"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6635C1D9">
            <w:pPr>
              <w:pStyle w:val="76"/>
              <w:rPr>
                <w:rFonts w:hint="default" w:ascii="Times New Roman Regular" w:hAnsi="Times New Roman Regular" w:cs="Times New Roman Regular"/>
              </w:rPr>
            </w:pPr>
            <w:r>
              <w:rPr>
                <w:rFonts w:hint="default" w:ascii="Times New Roman Regular" w:hAnsi="Times New Roman Regular" w:cs="Times New Roman Regular"/>
              </w:rPr>
              <w:t>120 kHz</w:t>
            </w:r>
          </w:p>
        </w:tc>
        <w:tc>
          <w:tcPr>
            <w:tcW w:w="1923"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top"/>
          </w:tcPr>
          <w:p w14:paraId="25AAC131">
            <w:pPr>
              <w:keepNext/>
              <w:keepLines/>
              <w:widowControl w:val="0"/>
              <w:spacing w:line="256" w:lineRule="auto"/>
              <w:rPr>
                <w:rFonts w:hint="default" w:ascii="Times New Roman Regular" w:hAnsi="Times New Roman Regular" w:cs="Times New Roman Regular"/>
                <w:i/>
                <w:iCs/>
                <w:color w:val="FF0000"/>
              </w:rPr>
            </w:pPr>
            <w:r>
              <w:rPr>
                <w:rFonts w:hint="default" w:ascii="Times New Roman Regular" w:hAnsi="Times New Roman Regular" w:eastAsia="PMingLiU" w:cs="Times New Roman Regular"/>
                <w:i/>
                <w:iCs/>
                <w:strike/>
                <w:dstrike w:val="0"/>
                <w:sz w:val="18"/>
                <w:szCs w:val="20"/>
                <w:lang w:val="en-US" w:eastAsia="zh-CN"/>
              </w:rPr>
              <w:t>[</w:t>
            </w:r>
            <w:commentRangeStart w:id="2"/>
            <w:r>
              <w:rPr>
                <w:rFonts w:hint="default" w:ascii="Times New Roman Regular" w:hAnsi="Times New Roman Regular" w:eastAsia="PMingLiU" w:cs="Times New Roman Regular"/>
                <w:i/>
                <w:iCs/>
                <w:strike/>
                <w:dstrike w:val="0"/>
                <w:sz w:val="18"/>
                <w:szCs w:val="20"/>
                <w:lang w:val="zh-CN" w:eastAsia="zh-CN"/>
              </w:rPr>
              <w:t>30 kHz</w:t>
            </w:r>
            <w:r>
              <w:rPr>
                <w:rFonts w:hint="default" w:ascii="Times New Roman Regular" w:hAnsi="Times New Roman Regular" w:eastAsia="PMingLiU" w:cs="Times New Roman Regular"/>
                <w:i/>
                <w:iCs/>
                <w:strike/>
                <w:dstrike w:val="0"/>
                <w:sz w:val="18"/>
                <w:szCs w:val="20"/>
                <w:lang w:val="en-US" w:eastAsia="zh-CN"/>
              </w:rPr>
              <w:t xml:space="preserve">, </w:t>
            </w:r>
            <w:commentRangeEnd w:id="2"/>
            <w:r>
              <w:commentReference w:id="2"/>
            </w:r>
            <w:r>
              <w:rPr>
                <w:rFonts w:hint="default" w:ascii="Times New Roman Regular" w:hAnsi="Times New Roman Regular" w:eastAsia="PMingLiU" w:cs="Times New Roman Regular"/>
                <w:i/>
                <w:iCs/>
                <w:color w:val="FF0000"/>
                <w:sz w:val="18"/>
                <w:szCs w:val="20"/>
                <w:lang w:val="en-US" w:eastAsia="zh-CN"/>
              </w:rPr>
              <w:t>60 kHz</w:t>
            </w:r>
            <w:r>
              <w:rPr>
                <w:rFonts w:hint="default" w:ascii="Times New Roman Regular" w:hAnsi="Times New Roman Regular" w:eastAsia="PMingLiU" w:cs="Times New Roman Regular"/>
                <w:i/>
                <w:iCs/>
                <w:strike/>
                <w:dstrike w:val="0"/>
                <w:sz w:val="18"/>
                <w:szCs w:val="20"/>
                <w:lang w:val="en-US" w:eastAsia="zh-CN"/>
              </w:rPr>
              <w:t>]</w:t>
            </w:r>
          </w:p>
        </w:tc>
      </w:tr>
      <w:tr w14:paraId="3E4E7737">
        <w:tc>
          <w:tcPr>
            <w:tcW w:w="2366"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14:paraId="76F56CF9">
            <w:pPr>
              <w:pStyle w:val="76"/>
              <w:rPr>
                <w:rFonts w:hint="default" w:ascii="Times New Roman Regular" w:hAnsi="Times New Roman Regular" w:cs="Times New Roman Regular"/>
              </w:rPr>
            </w:pPr>
            <w:r>
              <w:rPr>
                <w:rFonts w:hint="default" w:ascii="Times New Roman Regular" w:hAnsi="Times New Roman Regular" w:cs="Times New Roman Regular"/>
              </w:rPr>
              <w:t>Number of TRP</w:t>
            </w:r>
          </w:p>
        </w:tc>
        <w:tc>
          <w:tcPr>
            <w:tcW w:w="1720"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24AD96CA">
            <w:pPr>
              <w:pStyle w:val="76"/>
              <w:rPr>
                <w:rFonts w:hint="default" w:ascii="Times New Roman Regular" w:hAnsi="Times New Roman Regular" w:cs="Times New Roman Regular"/>
              </w:rPr>
            </w:pPr>
            <w:r>
              <w:rPr>
                <w:rFonts w:hint="default" w:ascii="Times New Roman Regular" w:hAnsi="Times New Roman Regular" w:cs="Times New Roman Regular"/>
              </w:rPr>
              <w:t>1</w:t>
            </w:r>
          </w:p>
        </w:tc>
        <w:tc>
          <w:tcPr>
            <w:tcW w:w="1729"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23ECD7F1">
            <w:pPr>
              <w:pStyle w:val="76"/>
              <w:rPr>
                <w:rFonts w:hint="default" w:ascii="Times New Roman Regular" w:hAnsi="Times New Roman Regular" w:cs="Times New Roman Regular"/>
              </w:rPr>
            </w:pPr>
            <w:r>
              <w:rPr>
                <w:rFonts w:hint="default" w:ascii="Times New Roman Regular" w:hAnsi="Times New Roman Regular" w:cs="Times New Roman Regular"/>
              </w:rPr>
              <w:t>1</w:t>
            </w:r>
          </w:p>
        </w:tc>
        <w:tc>
          <w:tcPr>
            <w:tcW w:w="1685"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3160AC98">
            <w:pPr>
              <w:pStyle w:val="76"/>
              <w:rPr>
                <w:rFonts w:hint="default" w:ascii="Times New Roman Regular" w:hAnsi="Times New Roman Regular" w:cs="Times New Roman Regular"/>
              </w:rPr>
            </w:pPr>
            <w:r>
              <w:rPr>
                <w:rFonts w:hint="default" w:ascii="Times New Roman Regular" w:hAnsi="Times New Roman Regular" w:cs="Times New Roman Regular"/>
              </w:rPr>
              <w:t>1</w:t>
            </w:r>
          </w:p>
        </w:tc>
        <w:tc>
          <w:tcPr>
            <w:tcW w:w="1923"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top"/>
          </w:tcPr>
          <w:p w14:paraId="2A4499F3">
            <w:pPr>
              <w:keepNext/>
              <w:keepLines/>
              <w:widowControl w:val="0"/>
              <w:spacing w:line="256" w:lineRule="auto"/>
              <w:rPr>
                <w:rFonts w:hint="default" w:ascii="Times New Roman Regular" w:hAnsi="Times New Roman Regular" w:cs="Times New Roman Regular"/>
                <w:i/>
                <w:iCs/>
                <w:color w:val="FF0000"/>
              </w:rPr>
            </w:pPr>
            <w:r>
              <w:rPr>
                <w:rFonts w:hint="default" w:ascii="Times New Roman Regular" w:hAnsi="Times New Roman Regular" w:eastAsia="PMingLiU" w:cs="Times New Roman Regular"/>
                <w:i/>
                <w:iCs/>
                <w:color w:val="FF0000"/>
                <w:sz w:val="18"/>
                <w:szCs w:val="20"/>
                <w:lang w:val="zh-CN" w:eastAsia="zh-CN"/>
              </w:rPr>
              <w:t>1</w:t>
            </w:r>
          </w:p>
        </w:tc>
      </w:tr>
      <w:tr w14:paraId="20EEB440">
        <w:tc>
          <w:tcPr>
            <w:tcW w:w="2366"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14:paraId="12B91B0D">
            <w:pPr>
              <w:pStyle w:val="76"/>
              <w:rPr>
                <w:rFonts w:hint="default" w:ascii="Times New Roman Regular" w:hAnsi="Times New Roman Regular" w:cs="Times New Roman Regular"/>
                <w:highlight w:val="none"/>
              </w:rPr>
            </w:pPr>
            <w:r>
              <w:rPr>
                <w:rFonts w:hint="default" w:ascii="Times New Roman Regular" w:hAnsi="Times New Roman Regular" w:cs="Times New Roman Regular"/>
                <w:highlight w:val="none"/>
              </w:rPr>
              <w:t xml:space="preserve">Total number of DL TX </w:t>
            </w:r>
            <w:r>
              <w:rPr>
                <w:rFonts w:hint="default" w:ascii="Times New Roman Regular" w:hAnsi="Times New Roman Regular" w:cs="Times New Roman Regular"/>
                <w:sz w:val="20"/>
                <w:szCs w:val="20"/>
                <w:highlight w:val="none"/>
              </w:rPr>
              <w:t>RUs</w:t>
            </w:r>
          </w:p>
        </w:tc>
        <w:tc>
          <w:tcPr>
            <w:tcW w:w="1720"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48B2A264">
            <w:pPr>
              <w:pStyle w:val="76"/>
              <w:rPr>
                <w:rFonts w:hint="default" w:ascii="Times New Roman Regular" w:hAnsi="Times New Roman Regular" w:cs="Times New Roman Regular"/>
                <w:highlight w:val="none"/>
              </w:rPr>
            </w:pPr>
            <w:r>
              <w:rPr>
                <w:rFonts w:hint="default" w:ascii="Times New Roman Regular" w:hAnsi="Times New Roman Regular" w:cs="Times New Roman Regular"/>
                <w:highlight w:val="none"/>
              </w:rPr>
              <w:t>64</w:t>
            </w:r>
          </w:p>
        </w:tc>
        <w:tc>
          <w:tcPr>
            <w:tcW w:w="1729"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42FDD97F">
            <w:pPr>
              <w:pStyle w:val="76"/>
              <w:rPr>
                <w:rFonts w:hint="default" w:ascii="Times New Roman Regular" w:hAnsi="Times New Roman Regular" w:cs="Times New Roman Regular"/>
                <w:highlight w:val="none"/>
                <w:lang w:eastAsia="zh-CN"/>
              </w:rPr>
            </w:pPr>
            <w:r>
              <w:rPr>
                <w:rFonts w:hint="default" w:ascii="Times New Roman Regular" w:hAnsi="Times New Roman Regular" w:cs="Times New Roman Regular"/>
                <w:highlight w:val="none"/>
                <w:lang w:eastAsia="zh-CN"/>
              </w:rPr>
              <w:t>32</w:t>
            </w:r>
          </w:p>
        </w:tc>
        <w:tc>
          <w:tcPr>
            <w:tcW w:w="1685"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544A8747">
            <w:pPr>
              <w:pStyle w:val="76"/>
              <w:rPr>
                <w:rFonts w:hint="default" w:ascii="Times New Roman Regular" w:hAnsi="Times New Roman Regular" w:cs="Times New Roman Regular"/>
                <w:strike/>
                <w:highlight w:val="none"/>
              </w:rPr>
            </w:pPr>
            <w:r>
              <w:rPr>
                <w:rFonts w:hint="default" w:ascii="Times New Roman Regular" w:hAnsi="Times New Roman Regular" w:cs="Times New Roman Regular"/>
                <w:highlight w:val="none"/>
              </w:rPr>
              <w:t>2</w:t>
            </w:r>
          </w:p>
        </w:tc>
        <w:tc>
          <w:tcPr>
            <w:tcW w:w="1923"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top"/>
          </w:tcPr>
          <w:p w14:paraId="40215064">
            <w:pPr>
              <w:keepNext/>
              <w:keepLines/>
              <w:widowControl w:val="0"/>
              <w:spacing w:line="256" w:lineRule="auto"/>
              <w:rPr>
                <w:rFonts w:hint="default" w:ascii="Times New Roman Regular" w:hAnsi="Times New Roman Regular" w:cs="Times New Roman Regular"/>
                <w:i/>
                <w:iCs/>
                <w:color w:val="FF0000"/>
                <w:highlight w:val="none"/>
              </w:rPr>
            </w:pPr>
            <w:r>
              <w:rPr>
                <w:rFonts w:hint="default" w:ascii="Times New Roman Regular" w:hAnsi="Times New Roman Regular" w:eastAsia="PMingLiU" w:cs="Times New Roman Regular"/>
                <w:i/>
                <w:iCs/>
                <w:strike/>
                <w:dstrike w:val="0"/>
                <w:sz w:val="18"/>
                <w:szCs w:val="20"/>
                <w:highlight w:val="none"/>
                <w:lang w:val="en-US"/>
              </w:rPr>
              <w:t>[</w:t>
            </w:r>
            <w:r>
              <w:rPr>
                <w:rFonts w:hint="default" w:ascii="Times New Roman Regular" w:hAnsi="Times New Roman Regular" w:eastAsia="PMingLiU" w:cs="Times New Roman Regular"/>
                <w:i/>
                <w:iCs/>
                <w:strike/>
                <w:dstrike w:val="0"/>
                <w:sz w:val="18"/>
                <w:szCs w:val="20"/>
                <w:highlight w:val="none"/>
                <w:lang w:val="zh-CN" w:eastAsia="zh-CN"/>
              </w:rPr>
              <w:t>1</w:t>
            </w:r>
            <w:r>
              <w:rPr>
                <w:rFonts w:hint="default" w:ascii="Times New Roman Regular" w:hAnsi="Times New Roman Regular" w:eastAsia="PMingLiU" w:cs="Times New Roman Regular"/>
                <w:i/>
                <w:iCs/>
                <w:strike/>
                <w:dstrike w:val="0"/>
                <w:sz w:val="18"/>
                <w:szCs w:val="20"/>
                <w:highlight w:val="none"/>
                <w:lang w:val="en-US"/>
              </w:rPr>
              <w:t xml:space="preserve">28, </w:t>
            </w:r>
            <w:r>
              <w:rPr>
                <w:rFonts w:hint="default" w:ascii="Times New Roman Regular" w:hAnsi="Times New Roman Regular" w:eastAsia="PMingLiU" w:cs="Times New Roman Regular"/>
                <w:i/>
                <w:iCs/>
                <w:color w:val="FF0000"/>
                <w:sz w:val="18"/>
                <w:szCs w:val="20"/>
                <w:highlight w:val="none"/>
                <w:lang w:val="en-US"/>
              </w:rPr>
              <w:t>256</w:t>
            </w:r>
            <w:r>
              <w:rPr>
                <w:rFonts w:hint="default" w:ascii="Times New Roman Regular" w:hAnsi="Times New Roman Regular" w:eastAsia="PMingLiU" w:cs="Times New Roman Regular"/>
                <w:i/>
                <w:iCs/>
                <w:strike/>
                <w:dstrike w:val="0"/>
                <w:sz w:val="18"/>
                <w:szCs w:val="20"/>
                <w:highlight w:val="none"/>
                <w:lang w:val="en-US"/>
              </w:rPr>
              <w:t>]</w:t>
            </w:r>
          </w:p>
        </w:tc>
      </w:tr>
      <w:tr w14:paraId="1139DC2F">
        <w:tc>
          <w:tcPr>
            <w:tcW w:w="2366"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14:paraId="66BC6B95">
            <w:pPr>
              <w:pStyle w:val="76"/>
              <w:rPr>
                <w:rFonts w:hint="default" w:ascii="Times New Roman Regular" w:hAnsi="Times New Roman Regular" w:cs="Times New Roman Regular"/>
              </w:rPr>
            </w:pPr>
            <w:r>
              <w:rPr>
                <w:rFonts w:hint="default" w:ascii="Times New Roman Regular" w:hAnsi="Times New Roman Regular" w:cs="Times New Roman Regular"/>
              </w:rPr>
              <w:t>Total DL power level</w:t>
            </w:r>
          </w:p>
        </w:tc>
        <w:tc>
          <w:tcPr>
            <w:tcW w:w="1720"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7E433BBC">
            <w:pPr>
              <w:pStyle w:val="76"/>
              <w:rPr>
                <w:rFonts w:hint="default" w:ascii="Times New Roman Regular" w:hAnsi="Times New Roman Regular" w:cs="Times New Roman Regular"/>
              </w:rPr>
            </w:pPr>
            <w:r>
              <w:rPr>
                <w:rFonts w:hint="default" w:ascii="Times New Roman Regular" w:hAnsi="Times New Roman Regular" w:cs="Times New Roman Regular"/>
              </w:rPr>
              <w:t>55 dBm</w:t>
            </w:r>
          </w:p>
        </w:tc>
        <w:tc>
          <w:tcPr>
            <w:tcW w:w="1729"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7E6FF235">
            <w:pPr>
              <w:pStyle w:val="76"/>
              <w:rPr>
                <w:rFonts w:hint="default" w:ascii="Times New Roman Regular" w:hAnsi="Times New Roman Regular" w:cs="Times New Roman Regular"/>
                <w:lang w:eastAsia="zh-CN"/>
              </w:rPr>
            </w:pPr>
            <w:r>
              <w:rPr>
                <w:rFonts w:hint="default" w:ascii="Times New Roman Regular" w:hAnsi="Times New Roman Regular" w:cs="Times New Roman Regular"/>
                <w:lang w:eastAsia="zh-CN"/>
              </w:rPr>
              <w:t>49 dBm</w:t>
            </w:r>
          </w:p>
        </w:tc>
        <w:tc>
          <w:tcPr>
            <w:tcW w:w="1685"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4B8AC261">
            <w:pPr>
              <w:pStyle w:val="76"/>
              <w:rPr>
                <w:rFonts w:hint="default" w:ascii="Times New Roman Regular" w:hAnsi="Times New Roman Regular" w:cs="Times New Roman Regular"/>
                <w:lang w:eastAsia="zh-CN"/>
              </w:rPr>
            </w:pPr>
            <w:r>
              <w:rPr>
                <w:rFonts w:hint="default" w:ascii="Times New Roman Regular" w:hAnsi="Times New Roman Regular" w:cs="Times New Roman Regular"/>
                <w:lang w:eastAsia="zh-CN"/>
              </w:rPr>
              <w:t>33 dBm*</w:t>
            </w:r>
          </w:p>
        </w:tc>
        <w:tc>
          <w:tcPr>
            <w:tcW w:w="1923"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top"/>
          </w:tcPr>
          <w:p w14:paraId="7272028D">
            <w:pPr>
              <w:keepNext/>
              <w:keepLines/>
              <w:widowControl w:val="0"/>
              <w:spacing w:line="256" w:lineRule="auto"/>
              <w:rPr>
                <w:rFonts w:hint="default" w:ascii="Times New Roman Regular" w:hAnsi="Times New Roman Regular" w:cs="Times New Roman Regular"/>
                <w:i/>
                <w:iCs/>
                <w:color w:val="FF0000"/>
                <w:lang w:eastAsia="zh-CN"/>
              </w:rPr>
            </w:pPr>
            <w:r>
              <w:rPr>
                <w:rFonts w:hint="default" w:ascii="Times New Roman Regular" w:hAnsi="Times New Roman Regular" w:eastAsia="PMingLiU" w:cs="Times New Roman Regular"/>
                <w:i/>
                <w:iCs/>
                <w:strike/>
                <w:dstrike w:val="0"/>
                <w:sz w:val="18"/>
                <w:szCs w:val="20"/>
                <w:lang w:val="en-US"/>
              </w:rPr>
              <w:t>[</w:t>
            </w:r>
            <w:r>
              <w:rPr>
                <w:rFonts w:hint="default" w:ascii="Times New Roman Regular" w:hAnsi="Times New Roman Regular" w:eastAsia="PMingLiU" w:cs="Times New Roman Regular"/>
                <w:i/>
                <w:iCs/>
                <w:strike/>
                <w:dstrike w:val="0"/>
                <w:sz w:val="18"/>
                <w:szCs w:val="20"/>
                <w:lang w:val="zh-CN" w:eastAsia="zh-CN"/>
              </w:rPr>
              <w:t>56</w:t>
            </w:r>
            <w:r>
              <w:rPr>
                <w:rFonts w:hint="default" w:ascii="Times New Roman Regular" w:hAnsi="Times New Roman Regular" w:eastAsia="PMingLiU" w:cs="Times New Roman Regular"/>
                <w:i/>
                <w:iCs/>
                <w:strike/>
                <w:dstrike w:val="0"/>
                <w:sz w:val="18"/>
                <w:szCs w:val="20"/>
                <w:lang w:val="en-US"/>
              </w:rPr>
              <w:t xml:space="preserve">] </w:t>
            </w:r>
            <w:r>
              <w:rPr>
                <w:rFonts w:hint="default" w:ascii="Times New Roman Regular" w:hAnsi="Times New Roman Regular" w:eastAsia="PMingLiU" w:cs="Times New Roman Regular"/>
                <w:i/>
                <w:iCs/>
                <w:strike w:val="0"/>
                <w:dstrike w:val="0"/>
                <w:color w:val="FF0000"/>
                <w:sz w:val="18"/>
                <w:szCs w:val="20"/>
                <w:lang w:val="en-US"/>
              </w:rPr>
              <w:t>62</w:t>
            </w:r>
            <w:r>
              <w:rPr>
                <w:rFonts w:hint="default" w:ascii="Times New Roman Regular" w:hAnsi="Times New Roman Regular" w:eastAsia="PMingLiU" w:cs="Times New Roman Regular"/>
                <w:i/>
                <w:iCs/>
                <w:sz w:val="18"/>
                <w:szCs w:val="20"/>
                <w:lang w:val="zh-CN" w:eastAsia="zh-CN"/>
              </w:rPr>
              <w:t xml:space="preserve"> dBm</w:t>
            </w:r>
          </w:p>
        </w:tc>
      </w:tr>
      <w:tr w14:paraId="0EA32935">
        <w:tc>
          <w:tcPr>
            <w:tcW w:w="2366" w:type="dxa"/>
            <w:tcBorders>
              <w:top w:val="nil"/>
              <w:left w:val="single" w:color="auto" w:sz="8" w:space="0"/>
              <w:bottom w:val="single" w:color="auto" w:sz="4" w:space="0"/>
              <w:right w:val="single" w:color="auto" w:sz="8" w:space="0"/>
            </w:tcBorders>
            <w:shd w:val="clear" w:color="auto" w:fill="auto"/>
            <w:tcMar>
              <w:top w:w="0" w:type="dxa"/>
              <w:left w:w="108" w:type="dxa"/>
              <w:bottom w:w="0" w:type="dxa"/>
              <w:right w:w="108" w:type="dxa"/>
            </w:tcMar>
          </w:tcPr>
          <w:p w14:paraId="6524D138">
            <w:pPr>
              <w:pStyle w:val="76"/>
              <w:rPr>
                <w:rFonts w:hint="default" w:ascii="Times New Roman Regular" w:hAnsi="Times New Roman Regular" w:cs="Times New Roman Regular"/>
                <w:highlight w:val="none"/>
              </w:rPr>
            </w:pPr>
            <w:r>
              <w:rPr>
                <w:rFonts w:hint="default" w:ascii="Times New Roman Regular" w:hAnsi="Times New Roman Regular" w:cs="Times New Roman Regular"/>
                <w:highlight w:val="none"/>
              </w:rPr>
              <w:t>Total number of UL Rx RUs</w:t>
            </w:r>
          </w:p>
        </w:tc>
        <w:tc>
          <w:tcPr>
            <w:tcW w:w="1720" w:type="dxa"/>
            <w:tcBorders>
              <w:top w:val="nil"/>
              <w:left w:val="nil"/>
              <w:bottom w:val="single" w:color="auto" w:sz="4" w:space="0"/>
              <w:right w:val="single" w:color="auto" w:sz="8" w:space="0"/>
            </w:tcBorders>
            <w:shd w:val="clear" w:color="auto" w:fill="auto"/>
            <w:tcMar>
              <w:top w:w="0" w:type="dxa"/>
              <w:left w:w="108" w:type="dxa"/>
              <w:bottom w:w="0" w:type="dxa"/>
              <w:right w:w="108" w:type="dxa"/>
            </w:tcMar>
          </w:tcPr>
          <w:p w14:paraId="282A8BBC">
            <w:pPr>
              <w:pStyle w:val="76"/>
              <w:rPr>
                <w:rFonts w:hint="default" w:ascii="Times New Roman Regular" w:hAnsi="Times New Roman Regular" w:cs="Times New Roman Regular"/>
                <w:highlight w:val="none"/>
              </w:rPr>
            </w:pPr>
            <w:r>
              <w:rPr>
                <w:rFonts w:hint="default" w:ascii="Times New Roman Regular" w:hAnsi="Times New Roman Regular" w:cs="Times New Roman Regular"/>
                <w:highlight w:val="none"/>
              </w:rPr>
              <w:t>64</w:t>
            </w:r>
          </w:p>
        </w:tc>
        <w:tc>
          <w:tcPr>
            <w:tcW w:w="1729" w:type="dxa"/>
            <w:tcBorders>
              <w:top w:val="nil"/>
              <w:left w:val="nil"/>
              <w:bottom w:val="single" w:color="auto" w:sz="4" w:space="0"/>
              <w:right w:val="single" w:color="auto" w:sz="8" w:space="0"/>
            </w:tcBorders>
            <w:shd w:val="clear" w:color="auto" w:fill="auto"/>
            <w:tcMar>
              <w:top w:w="0" w:type="dxa"/>
              <w:left w:w="108" w:type="dxa"/>
              <w:bottom w:w="0" w:type="dxa"/>
              <w:right w:w="108" w:type="dxa"/>
            </w:tcMar>
          </w:tcPr>
          <w:p w14:paraId="02B5DB94">
            <w:pPr>
              <w:pStyle w:val="76"/>
              <w:rPr>
                <w:rFonts w:hint="default" w:ascii="Times New Roman Regular" w:hAnsi="Times New Roman Regular" w:cs="Times New Roman Regular"/>
                <w:highlight w:val="none"/>
                <w:lang w:eastAsia="zh-CN"/>
              </w:rPr>
            </w:pPr>
            <w:r>
              <w:rPr>
                <w:rFonts w:hint="default" w:ascii="Times New Roman Regular" w:hAnsi="Times New Roman Regular" w:cs="Times New Roman Regular"/>
                <w:highlight w:val="none"/>
                <w:lang w:eastAsia="zh-CN"/>
              </w:rPr>
              <w:t>32</w:t>
            </w:r>
          </w:p>
        </w:tc>
        <w:tc>
          <w:tcPr>
            <w:tcW w:w="1685" w:type="dxa"/>
            <w:tcBorders>
              <w:top w:val="nil"/>
              <w:left w:val="nil"/>
              <w:bottom w:val="single" w:color="auto" w:sz="4" w:space="0"/>
              <w:right w:val="single" w:color="auto" w:sz="8" w:space="0"/>
            </w:tcBorders>
            <w:shd w:val="clear" w:color="auto" w:fill="auto"/>
            <w:tcMar>
              <w:top w:w="0" w:type="dxa"/>
              <w:left w:w="108" w:type="dxa"/>
              <w:bottom w:w="0" w:type="dxa"/>
              <w:right w:w="108" w:type="dxa"/>
            </w:tcMar>
          </w:tcPr>
          <w:p w14:paraId="5E0E3FA4">
            <w:pPr>
              <w:pStyle w:val="76"/>
              <w:rPr>
                <w:rFonts w:hint="default" w:ascii="Times New Roman Regular" w:hAnsi="Times New Roman Regular" w:cs="Times New Roman Regular"/>
                <w:highlight w:val="none"/>
              </w:rPr>
            </w:pPr>
            <w:r>
              <w:rPr>
                <w:rFonts w:hint="default" w:ascii="Times New Roman Regular" w:hAnsi="Times New Roman Regular" w:cs="Times New Roman Regular"/>
                <w:highlight w:val="none"/>
              </w:rPr>
              <w:t>2</w:t>
            </w:r>
          </w:p>
        </w:tc>
        <w:tc>
          <w:tcPr>
            <w:tcW w:w="1923" w:type="dxa"/>
            <w:tcBorders>
              <w:top w:val="nil"/>
              <w:left w:val="nil"/>
              <w:bottom w:val="single" w:color="auto" w:sz="4" w:space="0"/>
              <w:right w:val="single" w:color="auto" w:sz="8" w:space="0"/>
            </w:tcBorders>
            <w:shd w:val="clear" w:color="auto" w:fill="auto"/>
            <w:tcMar>
              <w:top w:w="0" w:type="dxa"/>
              <w:left w:w="108" w:type="dxa"/>
              <w:bottom w:w="0" w:type="dxa"/>
              <w:right w:w="108" w:type="dxa"/>
            </w:tcMar>
            <w:vAlign w:val="top"/>
          </w:tcPr>
          <w:p w14:paraId="160B4F44">
            <w:pPr>
              <w:keepNext/>
              <w:keepLines/>
              <w:widowControl w:val="0"/>
              <w:spacing w:line="256" w:lineRule="auto"/>
              <w:rPr>
                <w:rFonts w:hint="default" w:ascii="Times New Roman Regular" w:hAnsi="Times New Roman Regular" w:cs="Times New Roman Regular"/>
                <w:i/>
                <w:iCs/>
                <w:color w:val="FF0000"/>
                <w:highlight w:val="none"/>
              </w:rPr>
            </w:pPr>
            <w:r>
              <w:rPr>
                <w:rFonts w:hint="default" w:ascii="Times New Roman Regular" w:hAnsi="Times New Roman Regular" w:eastAsia="PMingLiU" w:cs="Times New Roman Regular"/>
                <w:i/>
                <w:iCs/>
                <w:strike/>
                <w:dstrike w:val="0"/>
                <w:sz w:val="18"/>
                <w:szCs w:val="20"/>
                <w:highlight w:val="none"/>
                <w:lang w:val="en-US"/>
              </w:rPr>
              <w:t>[</w:t>
            </w:r>
            <w:r>
              <w:rPr>
                <w:rFonts w:hint="default" w:ascii="Times New Roman Regular" w:hAnsi="Times New Roman Regular" w:eastAsia="PMingLiU" w:cs="Times New Roman Regular"/>
                <w:i/>
                <w:iCs/>
                <w:strike/>
                <w:dstrike w:val="0"/>
                <w:sz w:val="18"/>
                <w:szCs w:val="20"/>
                <w:highlight w:val="none"/>
                <w:lang w:val="zh-CN" w:eastAsia="zh-CN"/>
              </w:rPr>
              <w:t>1</w:t>
            </w:r>
            <w:r>
              <w:rPr>
                <w:rFonts w:hint="default" w:ascii="Times New Roman Regular" w:hAnsi="Times New Roman Regular" w:eastAsia="PMingLiU" w:cs="Times New Roman Regular"/>
                <w:i/>
                <w:iCs/>
                <w:strike/>
                <w:dstrike w:val="0"/>
                <w:sz w:val="18"/>
                <w:szCs w:val="20"/>
                <w:highlight w:val="none"/>
                <w:lang w:val="en-US"/>
              </w:rPr>
              <w:t xml:space="preserve">28, </w:t>
            </w:r>
            <w:r>
              <w:rPr>
                <w:rFonts w:hint="default" w:ascii="Times New Roman Regular" w:hAnsi="Times New Roman Regular" w:eastAsia="PMingLiU" w:cs="Times New Roman Regular"/>
                <w:i/>
                <w:iCs/>
                <w:color w:val="FF0000"/>
                <w:sz w:val="18"/>
                <w:szCs w:val="20"/>
                <w:highlight w:val="none"/>
                <w:lang w:val="en-US"/>
              </w:rPr>
              <w:t>256</w:t>
            </w:r>
            <w:r>
              <w:rPr>
                <w:rFonts w:hint="default" w:ascii="Times New Roman Regular" w:hAnsi="Times New Roman Regular" w:eastAsia="PMingLiU" w:cs="Times New Roman Regular"/>
                <w:i/>
                <w:iCs/>
                <w:strike/>
                <w:dstrike w:val="0"/>
                <w:sz w:val="18"/>
                <w:szCs w:val="20"/>
                <w:highlight w:val="none"/>
                <w:lang w:val="en-US"/>
              </w:rPr>
              <w:t>]</w:t>
            </w:r>
          </w:p>
        </w:tc>
      </w:tr>
      <w:tr w14:paraId="0C6E2DF0">
        <w:tc>
          <w:tcPr>
            <w:tcW w:w="9423" w:type="dxa"/>
            <w:gridSpan w:val="5"/>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14:paraId="220320BA">
            <w:pPr>
              <w:pStyle w:val="79"/>
              <w:rPr>
                <w:rFonts w:hint="default" w:ascii="Times New Roman Regular" w:hAnsi="Times New Roman Regular" w:cs="Times New Roman Regular"/>
                <w:lang w:eastAsia="zh-CN"/>
              </w:rPr>
            </w:pPr>
            <w:r>
              <w:rPr>
                <w:rFonts w:hint="default" w:ascii="Times New Roman Regular" w:hAnsi="Times New Roman Regular" w:cs="Times New Roman Regular"/>
                <w:lang w:eastAsia="zh-CN"/>
              </w:rPr>
              <w:t>*Note: EIRP limit is 63 dBm for the reference configuration. The EIRP value is scaled with the number of TxRUs.</w:t>
            </w:r>
          </w:p>
        </w:tc>
      </w:tr>
    </w:tbl>
    <w:p w14:paraId="12E0DB7E">
      <w:pPr>
        <w:pStyle w:val="5"/>
        <w:rPr>
          <w:rFonts w:hint="default" w:ascii="Times New Roman" w:hAnsi="Times New Roman" w:eastAsia="宋体" w:cs="Times New Roman"/>
          <w:sz w:val="22"/>
          <w:szCs w:val="22"/>
          <w:lang w:val="en-US" w:eastAsia="zh-CN"/>
        </w:rPr>
      </w:pPr>
    </w:p>
    <w:p w14:paraId="5932B4FD">
      <w:pPr>
        <w:pStyle w:val="5"/>
        <w:rPr>
          <w:rFonts w:hint="default" w:ascii="Times New Roman Bold Italic" w:hAnsi="Times New Roman Bold Italic" w:eastAsia="宋体" w:cs="Times New Roman Bold Italic"/>
          <w:b/>
          <w:bCs/>
          <w:i/>
          <w:iCs/>
          <w:sz w:val="22"/>
          <w:szCs w:val="22"/>
          <w:lang w:val="en-US" w:eastAsia="zh-CN"/>
        </w:rPr>
      </w:pPr>
      <w:r>
        <w:rPr>
          <w:rFonts w:hint="default" w:ascii="Times New Roman Bold Italic" w:hAnsi="Times New Roman Bold Italic" w:eastAsia="宋体" w:cs="Times New Roman Bold Italic"/>
          <w:b/>
          <w:bCs/>
          <w:i/>
          <w:iCs/>
          <w:sz w:val="22"/>
          <w:szCs w:val="22"/>
          <w:lang w:val="en-US" w:eastAsia="zh-CN"/>
        </w:rPr>
        <w:t xml:space="preserve">Proposal </w:t>
      </w:r>
      <w:r>
        <w:rPr>
          <w:rFonts w:hint="default" w:ascii="Times New Roman Bold Italic" w:hAnsi="Times New Roman Bold Italic" w:cs="Times New Roman Bold Italic"/>
          <w:b/>
          <w:bCs/>
          <w:i/>
          <w:iCs/>
          <w:sz w:val="22"/>
          <w:szCs w:val="22"/>
          <w:lang w:val="en-US" w:eastAsia="zh-CN"/>
        </w:rPr>
        <w:t>8</w:t>
      </w:r>
      <w:r>
        <w:rPr>
          <w:rFonts w:hint="default" w:ascii="Times New Roman Bold Italic" w:hAnsi="Times New Roman Bold Italic" w:eastAsia="宋体" w:cs="Times New Roman Bold Italic"/>
          <w:b/>
          <w:bCs/>
          <w:i/>
          <w:iCs/>
          <w:sz w:val="22"/>
          <w:szCs w:val="22"/>
          <w:lang w:val="en-US" w:eastAsia="zh-CN"/>
        </w:rPr>
        <w:t>: Capture following Set 4 parameters into TR for further study or evaluation in 6GR.</w:t>
      </w:r>
    </w:p>
    <w:p w14:paraId="5132EEA9">
      <w:pPr>
        <w:pStyle w:val="5"/>
        <w:jc w:val="center"/>
      </w:pPr>
      <w:r>
        <w:rPr>
          <w:i/>
          <w:iCs/>
        </w:rPr>
        <w:t xml:space="preserve">Table </w:t>
      </w:r>
      <w:r>
        <w:rPr>
          <w:rFonts w:hint="default"/>
          <w:i/>
          <w:iCs/>
          <w:lang w:val="en-US"/>
        </w:rPr>
        <w:t>1-1</w:t>
      </w:r>
      <w:r>
        <w:rPr>
          <w:i/>
          <w:iCs/>
        </w:rPr>
        <w:t>: BS Reference Configurations</w:t>
      </w:r>
      <w:r>
        <w:rPr>
          <w:rFonts w:hint="eastAsia"/>
          <w:i/>
          <w:iCs/>
          <w:lang w:val="en-US" w:eastAsia="zh-CN"/>
        </w:rPr>
        <w:t xml:space="preserve"> based</w:t>
      </w:r>
      <w:r>
        <w:rPr>
          <w:rFonts w:hint="default"/>
          <w:i/>
          <w:iCs/>
          <w:lang w:val="en-US" w:eastAsia="zh-CN"/>
        </w:rPr>
        <w:t xml:space="preserve"> on TS 38.864 and [3]</w:t>
      </w:r>
      <w:r>
        <w:rPr>
          <w:i/>
          <w:iCs/>
        </w:rPr>
        <w:t>.</w:t>
      </w:r>
    </w:p>
    <w:tbl>
      <w:tblPr>
        <w:tblStyle w:val="27"/>
        <w:tblW w:w="9423" w:type="dxa"/>
        <w:tblInd w:w="108" w:type="dxa"/>
        <w:tblLayout w:type="autofit"/>
        <w:tblCellMar>
          <w:top w:w="0" w:type="dxa"/>
          <w:left w:w="0" w:type="dxa"/>
          <w:bottom w:w="0" w:type="dxa"/>
          <w:right w:w="0" w:type="dxa"/>
        </w:tblCellMar>
      </w:tblPr>
      <w:tblGrid>
        <w:gridCol w:w="2366"/>
        <w:gridCol w:w="1720"/>
        <w:gridCol w:w="1729"/>
        <w:gridCol w:w="1685"/>
        <w:gridCol w:w="1923"/>
      </w:tblGrid>
      <w:tr w14:paraId="1AA4AE88">
        <w:tc>
          <w:tcPr>
            <w:tcW w:w="2366"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14:paraId="6D04921D">
            <w:pPr>
              <w:pStyle w:val="77"/>
              <w:rPr>
                <w:lang w:eastAsia="zh-CN"/>
              </w:rPr>
            </w:pPr>
          </w:p>
        </w:tc>
        <w:tc>
          <w:tcPr>
            <w:tcW w:w="172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14:paraId="2DF950D8">
            <w:pPr>
              <w:pStyle w:val="77"/>
            </w:pPr>
            <w:r>
              <w:t>Set 1 FR1</w:t>
            </w:r>
          </w:p>
        </w:tc>
        <w:tc>
          <w:tcPr>
            <w:tcW w:w="1729"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14:paraId="2577DC89">
            <w:pPr>
              <w:pStyle w:val="77"/>
            </w:pPr>
            <w:r>
              <w:t>Set 2 FR1</w:t>
            </w:r>
          </w:p>
        </w:tc>
        <w:tc>
          <w:tcPr>
            <w:tcW w:w="1685"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14:paraId="338C802A">
            <w:pPr>
              <w:pStyle w:val="77"/>
            </w:pPr>
            <w:r>
              <w:t>Set 3 FR2</w:t>
            </w:r>
          </w:p>
        </w:tc>
        <w:tc>
          <w:tcPr>
            <w:tcW w:w="192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top"/>
          </w:tcPr>
          <w:p w14:paraId="69F686C8">
            <w:pPr>
              <w:keepNext/>
              <w:keepLines/>
              <w:widowControl w:val="0"/>
              <w:tabs>
                <w:tab w:val="left" w:pos="720"/>
              </w:tabs>
              <w:spacing w:line="256" w:lineRule="auto"/>
              <w:rPr>
                <w:rFonts w:hint="default" w:ascii="Times New Roman Regular" w:hAnsi="Times New Roman Regular" w:cs="Times New Roman Regular"/>
                <w:i w:val="0"/>
                <w:iCs w:val="0"/>
                <w:lang w:val="en-US"/>
              </w:rPr>
            </w:pPr>
            <w:r>
              <w:rPr>
                <w:rFonts w:hint="default" w:ascii="Times New Roman Regular" w:hAnsi="Times New Roman Regular" w:eastAsia="PMingLiU" w:cs="Times New Roman Regular"/>
                <w:b/>
                <w:bCs/>
                <w:i w:val="0"/>
                <w:iCs w:val="0"/>
                <w:color w:val="FF0000"/>
                <w:sz w:val="18"/>
                <w:szCs w:val="20"/>
                <w:lang w:val="en-US" w:eastAsia="zh-CN"/>
              </w:rPr>
              <w:t xml:space="preserve">Set 4 around 7 GHz </w:t>
            </w:r>
          </w:p>
        </w:tc>
      </w:tr>
      <w:tr w14:paraId="780D843C">
        <w:tc>
          <w:tcPr>
            <w:tcW w:w="2366"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14:paraId="2D6ECB6F">
            <w:pPr>
              <w:pStyle w:val="76"/>
              <w:rPr>
                <w:rFonts w:hint="default" w:ascii="Times New Roman Regular" w:hAnsi="Times New Roman Regular" w:cs="Times New Roman Regular"/>
              </w:rPr>
            </w:pPr>
            <w:r>
              <w:rPr>
                <w:rFonts w:hint="default" w:ascii="Times New Roman Regular" w:hAnsi="Times New Roman Regular" w:cs="Times New Roman Regular"/>
              </w:rPr>
              <w:t>Duplex</w:t>
            </w:r>
          </w:p>
        </w:tc>
        <w:tc>
          <w:tcPr>
            <w:tcW w:w="1720"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171911EA">
            <w:pPr>
              <w:pStyle w:val="76"/>
              <w:rPr>
                <w:rFonts w:hint="default" w:ascii="Times New Roman Regular" w:hAnsi="Times New Roman Regular" w:cs="Times New Roman Regular"/>
              </w:rPr>
            </w:pPr>
            <w:r>
              <w:rPr>
                <w:rFonts w:hint="default" w:ascii="Times New Roman Regular" w:hAnsi="Times New Roman Regular" w:cs="Times New Roman Regular"/>
              </w:rPr>
              <w:t>TDD</w:t>
            </w:r>
          </w:p>
        </w:tc>
        <w:tc>
          <w:tcPr>
            <w:tcW w:w="1729"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2D3C9BF6">
            <w:pPr>
              <w:pStyle w:val="76"/>
              <w:rPr>
                <w:rFonts w:hint="default" w:ascii="Times New Roman Regular" w:hAnsi="Times New Roman Regular" w:cs="Times New Roman Regular"/>
              </w:rPr>
            </w:pPr>
            <w:r>
              <w:rPr>
                <w:rFonts w:hint="default" w:ascii="Times New Roman Regular" w:hAnsi="Times New Roman Regular" w:cs="Times New Roman Regular"/>
              </w:rPr>
              <w:t>FDD</w:t>
            </w:r>
          </w:p>
        </w:tc>
        <w:tc>
          <w:tcPr>
            <w:tcW w:w="1685"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7A246E64">
            <w:pPr>
              <w:pStyle w:val="76"/>
              <w:rPr>
                <w:rFonts w:hint="default" w:ascii="Times New Roman Regular" w:hAnsi="Times New Roman Regular" w:cs="Times New Roman Regular"/>
              </w:rPr>
            </w:pPr>
            <w:r>
              <w:rPr>
                <w:rFonts w:hint="default" w:ascii="Times New Roman Regular" w:hAnsi="Times New Roman Regular" w:cs="Times New Roman Regular"/>
              </w:rPr>
              <w:t>TDD</w:t>
            </w:r>
          </w:p>
        </w:tc>
        <w:tc>
          <w:tcPr>
            <w:tcW w:w="1923"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top"/>
          </w:tcPr>
          <w:p w14:paraId="50CE4A2E">
            <w:pPr>
              <w:keepNext/>
              <w:keepLines/>
              <w:widowControl w:val="0"/>
              <w:spacing w:line="256" w:lineRule="auto"/>
              <w:rPr>
                <w:rFonts w:hint="default" w:ascii="Times New Roman Regular" w:hAnsi="Times New Roman Regular" w:cs="Times New Roman Regular"/>
                <w:i w:val="0"/>
                <w:iCs w:val="0"/>
                <w:color w:val="FF0000"/>
              </w:rPr>
            </w:pPr>
            <w:r>
              <w:rPr>
                <w:rFonts w:hint="default" w:ascii="Times New Roman Regular" w:hAnsi="Times New Roman Regular" w:eastAsia="PMingLiU" w:cs="Times New Roman Regular"/>
                <w:i w:val="0"/>
                <w:iCs w:val="0"/>
                <w:color w:val="FF0000"/>
                <w:sz w:val="18"/>
                <w:szCs w:val="20"/>
                <w:lang w:val="zh-CN" w:eastAsia="zh-CN"/>
              </w:rPr>
              <w:t>TDD</w:t>
            </w:r>
          </w:p>
        </w:tc>
      </w:tr>
      <w:tr w14:paraId="6741D701">
        <w:tc>
          <w:tcPr>
            <w:tcW w:w="2366"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14:paraId="6C91B801">
            <w:pPr>
              <w:pStyle w:val="76"/>
              <w:rPr>
                <w:rFonts w:hint="default" w:ascii="Times New Roman Regular" w:hAnsi="Times New Roman Regular" w:cs="Times New Roman Regular"/>
              </w:rPr>
            </w:pPr>
            <w:r>
              <w:rPr>
                <w:rFonts w:hint="default" w:ascii="Times New Roman Regular" w:hAnsi="Times New Roman Regular" w:cs="Times New Roman Regular"/>
              </w:rPr>
              <w:t>System BW</w:t>
            </w:r>
          </w:p>
        </w:tc>
        <w:tc>
          <w:tcPr>
            <w:tcW w:w="1720"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60CD5E55">
            <w:pPr>
              <w:pStyle w:val="76"/>
              <w:rPr>
                <w:rFonts w:hint="default" w:ascii="Times New Roman Regular" w:hAnsi="Times New Roman Regular" w:cs="Times New Roman Regular"/>
              </w:rPr>
            </w:pPr>
            <w:r>
              <w:rPr>
                <w:rFonts w:hint="default" w:ascii="Times New Roman Regular" w:hAnsi="Times New Roman Regular" w:cs="Times New Roman Regular"/>
              </w:rPr>
              <w:t>100 MHz</w:t>
            </w:r>
          </w:p>
        </w:tc>
        <w:tc>
          <w:tcPr>
            <w:tcW w:w="1729"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623F1D56">
            <w:pPr>
              <w:pStyle w:val="76"/>
              <w:rPr>
                <w:rFonts w:hint="default" w:ascii="Times New Roman Regular" w:hAnsi="Times New Roman Regular" w:cs="Times New Roman Regular"/>
              </w:rPr>
            </w:pPr>
            <w:r>
              <w:rPr>
                <w:rFonts w:hint="default" w:ascii="Times New Roman Regular" w:hAnsi="Times New Roman Regular" w:cs="Times New Roman Regular"/>
              </w:rPr>
              <w:t>20 MHz</w:t>
            </w:r>
          </w:p>
        </w:tc>
        <w:tc>
          <w:tcPr>
            <w:tcW w:w="1685"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33590BC3">
            <w:pPr>
              <w:pStyle w:val="76"/>
              <w:rPr>
                <w:rFonts w:hint="default" w:ascii="Times New Roman Regular" w:hAnsi="Times New Roman Regular" w:cs="Times New Roman Regular"/>
              </w:rPr>
            </w:pPr>
            <w:r>
              <w:rPr>
                <w:rFonts w:hint="default" w:ascii="Times New Roman Regular" w:hAnsi="Times New Roman Regular" w:cs="Times New Roman Regular"/>
              </w:rPr>
              <w:t>100</w:t>
            </w:r>
            <w:r>
              <w:rPr>
                <w:rFonts w:hint="default" w:ascii="Times New Roman Regular" w:hAnsi="Times New Roman Regular" w:cs="Times New Roman Regular"/>
                <w:color w:val="FF0000"/>
              </w:rPr>
              <w:t xml:space="preserve"> </w:t>
            </w:r>
            <w:r>
              <w:rPr>
                <w:rFonts w:hint="default" w:ascii="Times New Roman Regular" w:hAnsi="Times New Roman Regular" w:cs="Times New Roman Regular"/>
              </w:rPr>
              <w:t>MHz</w:t>
            </w:r>
          </w:p>
        </w:tc>
        <w:tc>
          <w:tcPr>
            <w:tcW w:w="1923"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top"/>
          </w:tcPr>
          <w:p w14:paraId="2FD35546">
            <w:pPr>
              <w:keepNext/>
              <w:keepLines/>
              <w:widowControl w:val="0"/>
              <w:spacing w:line="256" w:lineRule="auto"/>
              <w:rPr>
                <w:rFonts w:hint="default" w:ascii="Times New Roman Regular" w:hAnsi="Times New Roman Regular" w:cs="Times New Roman Regular"/>
                <w:i w:val="0"/>
                <w:iCs w:val="0"/>
                <w:color w:val="FF0000"/>
              </w:rPr>
            </w:pPr>
            <w:r>
              <w:rPr>
                <w:rFonts w:hint="default" w:ascii="Times New Roman Regular" w:hAnsi="Times New Roman Regular" w:eastAsia="PMingLiU" w:cs="Times New Roman Regular"/>
                <w:i w:val="0"/>
                <w:iCs w:val="0"/>
                <w:strike/>
                <w:dstrike w:val="0"/>
                <w:sz w:val="18"/>
                <w:szCs w:val="20"/>
                <w:lang w:val="en-US"/>
              </w:rPr>
              <w:t>[</w:t>
            </w:r>
            <w:r>
              <w:rPr>
                <w:rFonts w:hint="default" w:ascii="Times New Roman Regular" w:hAnsi="Times New Roman Regular" w:eastAsia="PMingLiU" w:cs="Times New Roman Regular"/>
                <w:i w:val="0"/>
                <w:iCs w:val="0"/>
                <w:strike/>
                <w:dstrike w:val="0"/>
                <w:sz w:val="18"/>
                <w:szCs w:val="20"/>
                <w:lang w:val="zh-CN" w:eastAsia="zh-CN"/>
              </w:rPr>
              <w:t>1</w:t>
            </w:r>
            <w:r>
              <w:rPr>
                <w:rFonts w:hint="default" w:ascii="Times New Roman Regular" w:hAnsi="Times New Roman Regular" w:eastAsia="PMingLiU" w:cs="Times New Roman Regular"/>
                <w:i w:val="0"/>
                <w:iCs w:val="0"/>
                <w:strike/>
                <w:dstrike w:val="0"/>
                <w:sz w:val="18"/>
                <w:szCs w:val="20"/>
                <w:lang w:val="en-US"/>
              </w:rPr>
              <w:t>0</w:t>
            </w:r>
            <w:r>
              <w:rPr>
                <w:rFonts w:hint="default" w:ascii="Times New Roman Regular" w:hAnsi="Times New Roman Regular" w:eastAsia="PMingLiU" w:cs="Times New Roman Regular"/>
                <w:i w:val="0"/>
                <w:iCs w:val="0"/>
                <w:strike/>
                <w:dstrike w:val="0"/>
                <w:sz w:val="18"/>
                <w:szCs w:val="20"/>
                <w:lang w:val="zh-CN" w:eastAsia="zh-CN"/>
              </w:rPr>
              <w:t>0</w:t>
            </w:r>
            <w:r>
              <w:rPr>
                <w:rFonts w:hint="default" w:ascii="Times New Roman Regular" w:hAnsi="Times New Roman Regular" w:eastAsia="PMingLiU" w:cs="Times New Roman Regular"/>
                <w:i w:val="0"/>
                <w:iCs w:val="0"/>
                <w:strike/>
                <w:dstrike w:val="0"/>
                <w:sz w:val="18"/>
                <w:szCs w:val="20"/>
                <w:lang w:val="en-US"/>
              </w:rPr>
              <w:t xml:space="preserve">, </w:t>
            </w:r>
            <w:r>
              <w:rPr>
                <w:rFonts w:hint="default" w:ascii="Times New Roman Regular" w:hAnsi="Times New Roman Regular" w:eastAsia="PMingLiU" w:cs="Times New Roman Regular"/>
                <w:i w:val="0"/>
                <w:iCs w:val="0"/>
                <w:color w:val="FF0000"/>
                <w:sz w:val="18"/>
                <w:szCs w:val="20"/>
                <w:lang w:val="en-US"/>
              </w:rPr>
              <w:t>200</w:t>
            </w:r>
            <w:r>
              <w:rPr>
                <w:rFonts w:hint="default" w:ascii="Times New Roman Regular" w:hAnsi="Times New Roman Regular" w:eastAsia="PMingLiU" w:cs="Times New Roman Regular"/>
                <w:i w:val="0"/>
                <w:iCs w:val="0"/>
                <w:strike/>
                <w:dstrike w:val="0"/>
                <w:sz w:val="18"/>
                <w:szCs w:val="20"/>
                <w:lang w:val="en-US"/>
              </w:rPr>
              <w:t>, 400]</w:t>
            </w:r>
            <w:r>
              <w:rPr>
                <w:rFonts w:hint="default" w:ascii="Times New Roman Regular" w:hAnsi="Times New Roman Regular" w:eastAsia="PMingLiU" w:cs="Times New Roman Regular"/>
                <w:i w:val="0"/>
                <w:iCs w:val="0"/>
                <w:strike/>
                <w:dstrike w:val="0"/>
                <w:sz w:val="18"/>
                <w:szCs w:val="20"/>
                <w:lang w:val="zh-CN" w:eastAsia="zh-CN"/>
              </w:rPr>
              <w:t xml:space="preserve"> </w:t>
            </w:r>
            <w:r>
              <w:rPr>
                <w:rFonts w:hint="default" w:ascii="Times New Roman Regular" w:hAnsi="Times New Roman Regular" w:eastAsia="PMingLiU" w:cs="Times New Roman Regular"/>
                <w:i w:val="0"/>
                <w:iCs w:val="0"/>
                <w:color w:val="FF0000"/>
                <w:sz w:val="18"/>
                <w:szCs w:val="20"/>
                <w:lang w:val="zh-CN" w:eastAsia="zh-CN"/>
              </w:rPr>
              <w:t xml:space="preserve">MHz </w:t>
            </w:r>
          </w:p>
        </w:tc>
      </w:tr>
      <w:tr w14:paraId="095C1BD9">
        <w:tc>
          <w:tcPr>
            <w:tcW w:w="2366"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14:paraId="21971DA8">
            <w:pPr>
              <w:pStyle w:val="76"/>
              <w:rPr>
                <w:rFonts w:hint="default" w:ascii="Times New Roman Regular" w:hAnsi="Times New Roman Regular" w:cs="Times New Roman Regular"/>
              </w:rPr>
            </w:pPr>
            <w:r>
              <w:rPr>
                <w:rFonts w:hint="default" w:ascii="Times New Roman Regular" w:hAnsi="Times New Roman Regular" w:cs="Times New Roman Regular"/>
              </w:rPr>
              <w:t>SCS</w:t>
            </w:r>
          </w:p>
        </w:tc>
        <w:tc>
          <w:tcPr>
            <w:tcW w:w="1720"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53729CC9">
            <w:pPr>
              <w:pStyle w:val="76"/>
              <w:rPr>
                <w:rFonts w:hint="default" w:ascii="Times New Roman Regular" w:hAnsi="Times New Roman Regular" w:cs="Times New Roman Regular"/>
              </w:rPr>
            </w:pPr>
            <w:r>
              <w:rPr>
                <w:rFonts w:hint="default" w:ascii="Times New Roman Regular" w:hAnsi="Times New Roman Regular" w:cs="Times New Roman Regular"/>
              </w:rPr>
              <w:t>30 kHz</w:t>
            </w:r>
          </w:p>
        </w:tc>
        <w:tc>
          <w:tcPr>
            <w:tcW w:w="1729"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712AFC08">
            <w:pPr>
              <w:pStyle w:val="76"/>
              <w:rPr>
                <w:rFonts w:hint="default" w:ascii="Times New Roman Regular" w:hAnsi="Times New Roman Regular" w:cs="Times New Roman Regular"/>
              </w:rPr>
            </w:pPr>
            <w:r>
              <w:rPr>
                <w:rFonts w:hint="default" w:ascii="Times New Roman Regular" w:hAnsi="Times New Roman Regular" w:cs="Times New Roman Regular"/>
              </w:rPr>
              <w:t>15 kHz</w:t>
            </w:r>
          </w:p>
        </w:tc>
        <w:tc>
          <w:tcPr>
            <w:tcW w:w="1685"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0EC5E3F8">
            <w:pPr>
              <w:pStyle w:val="76"/>
              <w:rPr>
                <w:rFonts w:hint="default" w:ascii="Times New Roman Regular" w:hAnsi="Times New Roman Regular" w:cs="Times New Roman Regular"/>
              </w:rPr>
            </w:pPr>
            <w:r>
              <w:rPr>
                <w:rFonts w:hint="default" w:ascii="Times New Roman Regular" w:hAnsi="Times New Roman Regular" w:cs="Times New Roman Regular"/>
              </w:rPr>
              <w:t>120 kHz</w:t>
            </w:r>
          </w:p>
        </w:tc>
        <w:tc>
          <w:tcPr>
            <w:tcW w:w="1923"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top"/>
          </w:tcPr>
          <w:p w14:paraId="2AC12CD6">
            <w:pPr>
              <w:keepNext/>
              <w:keepLines/>
              <w:widowControl w:val="0"/>
              <w:spacing w:line="256" w:lineRule="auto"/>
              <w:rPr>
                <w:rFonts w:hint="default" w:ascii="Times New Roman Regular" w:hAnsi="Times New Roman Regular" w:cs="Times New Roman Regular"/>
                <w:i w:val="0"/>
                <w:iCs w:val="0"/>
                <w:color w:val="FF0000"/>
              </w:rPr>
            </w:pPr>
            <w:r>
              <w:rPr>
                <w:rFonts w:hint="default" w:ascii="Times New Roman Regular" w:hAnsi="Times New Roman Regular" w:eastAsia="PMingLiU" w:cs="Times New Roman Regular"/>
                <w:i w:val="0"/>
                <w:iCs w:val="0"/>
                <w:strike/>
                <w:dstrike w:val="0"/>
                <w:sz w:val="18"/>
                <w:szCs w:val="20"/>
                <w:lang w:val="en-US" w:eastAsia="zh-CN"/>
              </w:rPr>
              <w:t>[</w:t>
            </w:r>
            <w:r>
              <w:rPr>
                <w:rFonts w:hint="default" w:ascii="Times New Roman Regular" w:hAnsi="Times New Roman Regular" w:eastAsia="PMingLiU" w:cs="Times New Roman Regular"/>
                <w:i w:val="0"/>
                <w:iCs w:val="0"/>
                <w:strike/>
                <w:dstrike w:val="0"/>
                <w:sz w:val="18"/>
                <w:szCs w:val="20"/>
                <w:lang w:val="zh-CN" w:eastAsia="zh-CN"/>
              </w:rPr>
              <w:t>30 kHz</w:t>
            </w:r>
            <w:r>
              <w:rPr>
                <w:rFonts w:hint="default" w:ascii="Times New Roman Regular" w:hAnsi="Times New Roman Regular" w:eastAsia="PMingLiU" w:cs="Times New Roman Regular"/>
                <w:i w:val="0"/>
                <w:iCs w:val="0"/>
                <w:strike/>
                <w:dstrike w:val="0"/>
                <w:sz w:val="18"/>
                <w:szCs w:val="20"/>
                <w:lang w:val="en-US" w:eastAsia="zh-CN"/>
              </w:rPr>
              <w:t xml:space="preserve">, </w:t>
            </w:r>
            <w:r>
              <w:rPr>
                <w:rFonts w:hint="default" w:ascii="Times New Roman Regular" w:hAnsi="Times New Roman Regular" w:eastAsia="PMingLiU" w:cs="Times New Roman Regular"/>
                <w:i w:val="0"/>
                <w:iCs w:val="0"/>
                <w:color w:val="FF0000"/>
                <w:sz w:val="18"/>
                <w:szCs w:val="20"/>
                <w:lang w:val="en-US" w:eastAsia="zh-CN"/>
              </w:rPr>
              <w:t>60 kHz</w:t>
            </w:r>
            <w:r>
              <w:rPr>
                <w:rFonts w:hint="default" w:ascii="Times New Roman Regular" w:hAnsi="Times New Roman Regular" w:eastAsia="PMingLiU" w:cs="Times New Roman Regular"/>
                <w:i w:val="0"/>
                <w:iCs w:val="0"/>
                <w:strike/>
                <w:dstrike w:val="0"/>
                <w:sz w:val="18"/>
                <w:szCs w:val="20"/>
                <w:lang w:val="en-US" w:eastAsia="zh-CN"/>
              </w:rPr>
              <w:t>]</w:t>
            </w:r>
          </w:p>
        </w:tc>
      </w:tr>
      <w:tr w14:paraId="1172DB8D">
        <w:tc>
          <w:tcPr>
            <w:tcW w:w="2366"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14:paraId="5D1BC3FB">
            <w:pPr>
              <w:pStyle w:val="76"/>
              <w:rPr>
                <w:rFonts w:hint="default" w:ascii="Times New Roman Regular" w:hAnsi="Times New Roman Regular" w:cs="Times New Roman Regular"/>
              </w:rPr>
            </w:pPr>
            <w:r>
              <w:rPr>
                <w:rFonts w:hint="default" w:ascii="Times New Roman Regular" w:hAnsi="Times New Roman Regular" w:cs="Times New Roman Regular"/>
              </w:rPr>
              <w:t>Number of TRP</w:t>
            </w:r>
          </w:p>
        </w:tc>
        <w:tc>
          <w:tcPr>
            <w:tcW w:w="1720"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5282620B">
            <w:pPr>
              <w:pStyle w:val="76"/>
              <w:rPr>
                <w:rFonts w:hint="default" w:ascii="Times New Roman Regular" w:hAnsi="Times New Roman Regular" w:cs="Times New Roman Regular"/>
              </w:rPr>
            </w:pPr>
            <w:r>
              <w:rPr>
                <w:rFonts w:hint="default" w:ascii="Times New Roman Regular" w:hAnsi="Times New Roman Regular" w:cs="Times New Roman Regular"/>
              </w:rPr>
              <w:t>1</w:t>
            </w:r>
          </w:p>
        </w:tc>
        <w:tc>
          <w:tcPr>
            <w:tcW w:w="1729"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49E98D1E">
            <w:pPr>
              <w:pStyle w:val="76"/>
              <w:rPr>
                <w:rFonts w:hint="default" w:ascii="Times New Roman Regular" w:hAnsi="Times New Roman Regular" w:cs="Times New Roman Regular"/>
              </w:rPr>
            </w:pPr>
            <w:r>
              <w:rPr>
                <w:rFonts w:hint="default" w:ascii="Times New Roman Regular" w:hAnsi="Times New Roman Regular" w:cs="Times New Roman Regular"/>
              </w:rPr>
              <w:t>1</w:t>
            </w:r>
          </w:p>
        </w:tc>
        <w:tc>
          <w:tcPr>
            <w:tcW w:w="1685"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4FD3717C">
            <w:pPr>
              <w:pStyle w:val="76"/>
              <w:rPr>
                <w:rFonts w:hint="default" w:ascii="Times New Roman Regular" w:hAnsi="Times New Roman Regular" w:cs="Times New Roman Regular"/>
              </w:rPr>
            </w:pPr>
            <w:r>
              <w:rPr>
                <w:rFonts w:hint="default" w:ascii="Times New Roman Regular" w:hAnsi="Times New Roman Regular" w:cs="Times New Roman Regular"/>
              </w:rPr>
              <w:t>1</w:t>
            </w:r>
          </w:p>
        </w:tc>
        <w:tc>
          <w:tcPr>
            <w:tcW w:w="1923"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top"/>
          </w:tcPr>
          <w:p w14:paraId="035D956E">
            <w:pPr>
              <w:keepNext/>
              <w:keepLines/>
              <w:widowControl w:val="0"/>
              <w:spacing w:line="256" w:lineRule="auto"/>
              <w:rPr>
                <w:rFonts w:hint="default" w:ascii="Times New Roman Regular" w:hAnsi="Times New Roman Regular" w:cs="Times New Roman Regular"/>
                <w:i w:val="0"/>
                <w:iCs w:val="0"/>
                <w:color w:val="FF0000"/>
              </w:rPr>
            </w:pPr>
            <w:r>
              <w:rPr>
                <w:rFonts w:hint="default" w:ascii="Times New Roman Regular" w:hAnsi="Times New Roman Regular" w:eastAsia="PMingLiU" w:cs="Times New Roman Regular"/>
                <w:i w:val="0"/>
                <w:iCs w:val="0"/>
                <w:color w:val="FF0000"/>
                <w:sz w:val="18"/>
                <w:szCs w:val="20"/>
                <w:lang w:val="zh-CN" w:eastAsia="zh-CN"/>
              </w:rPr>
              <w:t>1</w:t>
            </w:r>
          </w:p>
        </w:tc>
      </w:tr>
      <w:tr w14:paraId="31F0E792">
        <w:tc>
          <w:tcPr>
            <w:tcW w:w="2366"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14:paraId="18F29A72">
            <w:pPr>
              <w:pStyle w:val="76"/>
              <w:rPr>
                <w:rFonts w:hint="default" w:ascii="Times New Roman Regular" w:hAnsi="Times New Roman Regular" w:cs="Times New Roman Regular"/>
                <w:highlight w:val="none"/>
              </w:rPr>
            </w:pPr>
            <w:r>
              <w:rPr>
                <w:rFonts w:hint="default" w:ascii="Times New Roman Regular" w:hAnsi="Times New Roman Regular" w:cs="Times New Roman Regular"/>
                <w:highlight w:val="none"/>
              </w:rPr>
              <w:t xml:space="preserve">Total number of DL TX </w:t>
            </w:r>
            <w:r>
              <w:rPr>
                <w:rFonts w:hint="default" w:ascii="Times New Roman Regular" w:hAnsi="Times New Roman Regular" w:cs="Times New Roman Regular"/>
                <w:sz w:val="20"/>
                <w:szCs w:val="20"/>
                <w:highlight w:val="none"/>
              </w:rPr>
              <w:t>RUs</w:t>
            </w:r>
          </w:p>
        </w:tc>
        <w:tc>
          <w:tcPr>
            <w:tcW w:w="1720"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26BB888D">
            <w:pPr>
              <w:pStyle w:val="76"/>
              <w:rPr>
                <w:rFonts w:hint="default" w:ascii="Times New Roman Regular" w:hAnsi="Times New Roman Regular" w:cs="Times New Roman Regular"/>
                <w:highlight w:val="none"/>
              </w:rPr>
            </w:pPr>
            <w:r>
              <w:rPr>
                <w:rFonts w:hint="default" w:ascii="Times New Roman Regular" w:hAnsi="Times New Roman Regular" w:cs="Times New Roman Regular"/>
                <w:highlight w:val="none"/>
              </w:rPr>
              <w:t>64</w:t>
            </w:r>
          </w:p>
        </w:tc>
        <w:tc>
          <w:tcPr>
            <w:tcW w:w="1729"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636B69EC">
            <w:pPr>
              <w:pStyle w:val="76"/>
              <w:rPr>
                <w:rFonts w:hint="default" w:ascii="Times New Roman Regular" w:hAnsi="Times New Roman Regular" w:cs="Times New Roman Regular"/>
                <w:highlight w:val="none"/>
                <w:lang w:eastAsia="zh-CN"/>
              </w:rPr>
            </w:pPr>
            <w:r>
              <w:rPr>
                <w:rFonts w:hint="default" w:ascii="Times New Roman Regular" w:hAnsi="Times New Roman Regular" w:cs="Times New Roman Regular"/>
                <w:highlight w:val="none"/>
                <w:lang w:eastAsia="zh-CN"/>
              </w:rPr>
              <w:t>32</w:t>
            </w:r>
          </w:p>
        </w:tc>
        <w:tc>
          <w:tcPr>
            <w:tcW w:w="1685"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78DE635F">
            <w:pPr>
              <w:pStyle w:val="76"/>
              <w:rPr>
                <w:rFonts w:hint="default" w:ascii="Times New Roman Regular" w:hAnsi="Times New Roman Regular" w:cs="Times New Roman Regular"/>
                <w:strike/>
                <w:highlight w:val="none"/>
              </w:rPr>
            </w:pPr>
            <w:r>
              <w:rPr>
                <w:rFonts w:hint="default" w:ascii="Times New Roman Regular" w:hAnsi="Times New Roman Regular" w:cs="Times New Roman Regular"/>
                <w:highlight w:val="none"/>
              </w:rPr>
              <w:t>2</w:t>
            </w:r>
          </w:p>
        </w:tc>
        <w:tc>
          <w:tcPr>
            <w:tcW w:w="1923"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top"/>
          </w:tcPr>
          <w:p w14:paraId="1FBC03C5">
            <w:pPr>
              <w:keepNext/>
              <w:keepLines/>
              <w:widowControl w:val="0"/>
              <w:spacing w:line="256" w:lineRule="auto"/>
              <w:rPr>
                <w:rFonts w:hint="default" w:ascii="Times New Roman Regular" w:hAnsi="Times New Roman Regular" w:cs="Times New Roman Regular"/>
                <w:i w:val="0"/>
                <w:iCs w:val="0"/>
                <w:color w:val="FF0000"/>
                <w:highlight w:val="none"/>
              </w:rPr>
            </w:pPr>
            <w:r>
              <w:rPr>
                <w:rFonts w:hint="default" w:ascii="Times New Roman Regular" w:hAnsi="Times New Roman Regular" w:eastAsia="PMingLiU" w:cs="Times New Roman Regular"/>
                <w:i w:val="0"/>
                <w:iCs w:val="0"/>
                <w:strike/>
                <w:dstrike w:val="0"/>
                <w:sz w:val="18"/>
                <w:szCs w:val="20"/>
                <w:highlight w:val="none"/>
                <w:lang w:val="en-US"/>
              </w:rPr>
              <w:t>[</w:t>
            </w:r>
            <w:r>
              <w:rPr>
                <w:rFonts w:hint="default" w:ascii="Times New Roman Regular" w:hAnsi="Times New Roman Regular" w:eastAsia="PMingLiU" w:cs="Times New Roman Regular"/>
                <w:i w:val="0"/>
                <w:iCs w:val="0"/>
                <w:strike/>
                <w:dstrike w:val="0"/>
                <w:sz w:val="18"/>
                <w:szCs w:val="20"/>
                <w:highlight w:val="none"/>
                <w:lang w:val="zh-CN" w:eastAsia="zh-CN"/>
              </w:rPr>
              <w:t>1</w:t>
            </w:r>
            <w:r>
              <w:rPr>
                <w:rFonts w:hint="default" w:ascii="Times New Roman Regular" w:hAnsi="Times New Roman Regular" w:eastAsia="PMingLiU" w:cs="Times New Roman Regular"/>
                <w:i w:val="0"/>
                <w:iCs w:val="0"/>
                <w:strike/>
                <w:dstrike w:val="0"/>
                <w:sz w:val="18"/>
                <w:szCs w:val="20"/>
                <w:highlight w:val="none"/>
                <w:lang w:val="en-US"/>
              </w:rPr>
              <w:t xml:space="preserve">28, </w:t>
            </w:r>
            <w:r>
              <w:rPr>
                <w:rFonts w:hint="default" w:ascii="Times New Roman Regular" w:hAnsi="Times New Roman Regular" w:eastAsia="PMingLiU" w:cs="Times New Roman Regular"/>
                <w:i w:val="0"/>
                <w:iCs w:val="0"/>
                <w:color w:val="FF0000"/>
                <w:sz w:val="18"/>
                <w:szCs w:val="20"/>
                <w:highlight w:val="none"/>
                <w:lang w:val="en-US"/>
              </w:rPr>
              <w:t>256</w:t>
            </w:r>
            <w:r>
              <w:rPr>
                <w:rFonts w:hint="default" w:ascii="Times New Roman Regular" w:hAnsi="Times New Roman Regular" w:eastAsia="PMingLiU" w:cs="Times New Roman Regular"/>
                <w:i w:val="0"/>
                <w:iCs w:val="0"/>
                <w:strike/>
                <w:dstrike w:val="0"/>
                <w:sz w:val="18"/>
                <w:szCs w:val="20"/>
                <w:highlight w:val="none"/>
                <w:lang w:val="en-US"/>
              </w:rPr>
              <w:t>]</w:t>
            </w:r>
          </w:p>
        </w:tc>
      </w:tr>
      <w:tr w14:paraId="62E25CEA">
        <w:tc>
          <w:tcPr>
            <w:tcW w:w="2366"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14:paraId="3D4589F7">
            <w:pPr>
              <w:pStyle w:val="76"/>
              <w:rPr>
                <w:rFonts w:hint="default" w:ascii="Times New Roman Regular" w:hAnsi="Times New Roman Regular" w:cs="Times New Roman Regular"/>
              </w:rPr>
            </w:pPr>
            <w:r>
              <w:rPr>
                <w:rFonts w:hint="default" w:ascii="Times New Roman Regular" w:hAnsi="Times New Roman Regular" w:cs="Times New Roman Regular"/>
              </w:rPr>
              <w:t>Total DL power level</w:t>
            </w:r>
          </w:p>
        </w:tc>
        <w:tc>
          <w:tcPr>
            <w:tcW w:w="1720"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6B125804">
            <w:pPr>
              <w:pStyle w:val="76"/>
              <w:rPr>
                <w:rFonts w:hint="default" w:ascii="Times New Roman Regular" w:hAnsi="Times New Roman Regular" w:cs="Times New Roman Regular"/>
              </w:rPr>
            </w:pPr>
            <w:r>
              <w:rPr>
                <w:rFonts w:hint="default" w:ascii="Times New Roman Regular" w:hAnsi="Times New Roman Regular" w:cs="Times New Roman Regular"/>
              </w:rPr>
              <w:t>55 dBm</w:t>
            </w:r>
          </w:p>
        </w:tc>
        <w:tc>
          <w:tcPr>
            <w:tcW w:w="1729"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5FEFFF96">
            <w:pPr>
              <w:pStyle w:val="76"/>
              <w:rPr>
                <w:rFonts w:hint="default" w:ascii="Times New Roman Regular" w:hAnsi="Times New Roman Regular" w:cs="Times New Roman Regular"/>
                <w:lang w:eastAsia="zh-CN"/>
              </w:rPr>
            </w:pPr>
            <w:r>
              <w:rPr>
                <w:rFonts w:hint="default" w:ascii="Times New Roman Regular" w:hAnsi="Times New Roman Regular" w:cs="Times New Roman Regular"/>
                <w:lang w:eastAsia="zh-CN"/>
              </w:rPr>
              <w:t>49 dBm</w:t>
            </w:r>
          </w:p>
        </w:tc>
        <w:tc>
          <w:tcPr>
            <w:tcW w:w="1685"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57BC85E0">
            <w:pPr>
              <w:pStyle w:val="76"/>
              <w:rPr>
                <w:rFonts w:hint="default" w:ascii="Times New Roman Regular" w:hAnsi="Times New Roman Regular" w:cs="Times New Roman Regular"/>
                <w:lang w:eastAsia="zh-CN"/>
              </w:rPr>
            </w:pPr>
            <w:r>
              <w:rPr>
                <w:rFonts w:hint="default" w:ascii="Times New Roman Regular" w:hAnsi="Times New Roman Regular" w:cs="Times New Roman Regular"/>
                <w:lang w:eastAsia="zh-CN"/>
              </w:rPr>
              <w:t>33 dBm*</w:t>
            </w:r>
          </w:p>
        </w:tc>
        <w:tc>
          <w:tcPr>
            <w:tcW w:w="1923"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top"/>
          </w:tcPr>
          <w:p w14:paraId="47090FA6">
            <w:pPr>
              <w:keepNext/>
              <w:keepLines/>
              <w:widowControl w:val="0"/>
              <w:spacing w:line="256" w:lineRule="auto"/>
              <w:rPr>
                <w:rFonts w:hint="default" w:ascii="Times New Roman Regular" w:hAnsi="Times New Roman Regular" w:cs="Times New Roman Regular"/>
                <w:i w:val="0"/>
                <w:iCs w:val="0"/>
                <w:color w:val="FF0000"/>
                <w:lang w:eastAsia="zh-CN"/>
              </w:rPr>
            </w:pPr>
            <w:r>
              <w:rPr>
                <w:rFonts w:hint="default" w:ascii="Times New Roman Regular" w:hAnsi="Times New Roman Regular" w:eastAsia="PMingLiU" w:cs="Times New Roman Regular"/>
                <w:i w:val="0"/>
                <w:iCs w:val="0"/>
                <w:strike/>
                <w:dstrike w:val="0"/>
                <w:sz w:val="18"/>
                <w:szCs w:val="20"/>
                <w:lang w:val="en-US"/>
              </w:rPr>
              <w:t>[</w:t>
            </w:r>
            <w:r>
              <w:rPr>
                <w:rFonts w:hint="default" w:ascii="Times New Roman Regular" w:hAnsi="Times New Roman Regular" w:eastAsia="PMingLiU" w:cs="Times New Roman Regular"/>
                <w:i w:val="0"/>
                <w:iCs w:val="0"/>
                <w:strike/>
                <w:dstrike w:val="0"/>
                <w:sz w:val="18"/>
                <w:szCs w:val="20"/>
                <w:lang w:val="zh-CN" w:eastAsia="zh-CN"/>
              </w:rPr>
              <w:t>56</w:t>
            </w:r>
            <w:r>
              <w:rPr>
                <w:rFonts w:hint="default" w:ascii="Times New Roman Regular" w:hAnsi="Times New Roman Regular" w:eastAsia="PMingLiU" w:cs="Times New Roman Regular"/>
                <w:i w:val="0"/>
                <w:iCs w:val="0"/>
                <w:strike/>
                <w:dstrike w:val="0"/>
                <w:sz w:val="18"/>
                <w:szCs w:val="20"/>
                <w:lang w:val="en-US"/>
              </w:rPr>
              <w:t xml:space="preserve">] </w:t>
            </w:r>
            <w:r>
              <w:rPr>
                <w:rFonts w:hint="default" w:ascii="Times New Roman Regular" w:hAnsi="Times New Roman Regular" w:eastAsia="PMingLiU" w:cs="Times New Roman Regular"/>
                <w:i w:val="0"/>
                <w:iCs w:val="0"/>
                <w:strike w:val="0"/>
                <w:dstrike w:val="0"/>
                <w:color w:val="FF0000"/>
                <w:sz w:val="18"/>
                <w:szCs w:val="20"/>
                <w:lang w:val="en-US"/>
              </w:rPr>
              <w:t>62 or 63</w:t>
            </w:r>
            <w:r>
              <w:rPr>
                <w:rFonts w:hint="default" w:ascii="Times New Roman Regular" w:hAnsi="Times New Roman Regular" w:eastAsia="PMingLiU" w:cs="Times New Roman Regular"/>
                <w:i w:val="0"/>
                <w:iCs w:val="0"/>
                <w:sz w:val="18"/>
                <w:szCs w:val="20"/>
                <w:lang w:val="zh-CN" w:eastAsia="zh-CN"/>
              </w:rPr>
              <w:t xml:space="preserve"> dBm</w:t>
            </w:r>
          </w:p>
        </w:tc>
      </w:tr>
      <w:tr w14:paraId="07F920E4">
        <w:tc>
          <w:tcPr>
            <w:tcW w:w="2366" w:type="dxa"/>
            <w:tcBorders>
              <w:top w:val="nil"/>
              <w:left w:val="single" w:color="auto" w:sz="8" w:space="0"/>
              <w:bottom w:val="single" w:color="auto" w:sz="4" w:space="0"/>
              <w:right w:val="single" w:color="auto" w:sz="8" w:space="0"/>
            </w:tcBorders>
            <w:shd w:val="clear" w:color="auto" w:fill="auto"/>
            <w:tcMar>
              <w:top w:w="0" w:type="dxa"/>
              <w:left w:w="108" w:type="dxa"/>
              <w:bottom w:w="0" w:type="dxa"/>
              <w:right w:w="108" w:type="dxa"/>
            </w:tcMar>
          </w:tcPr>
          <w:p w14:paraId="0BBA530F">
            <w:pPr>
              <w:pStyle w:val="76"/>
              <w:rPr>
                <w:rFonts w:hint="default" w:ascii="Times New Roman Regular" w:hAnsi="Times New Roman Regular" w:cs="Times New Roman Regular"/>
                <w:highlight w:val="none"/>
              </w:rPr>
            </w:pPr>
            <w:r>
              <w:rPr>
                <w:rFonts w:hint="default" w:ascii="Times New Roman Regular" w:hAnsi="Times New Roman Regular" w:cs="Times New Roman Regular"/>
                <w:highlight w:val="none"/>
              </w:rPr>
              <w:t>Total number of UL Rx RUs</w:t>
            </w:r>
          </w:p>
        </w:tc>
        <w:tc>
          <w:tcPr>
            <w:tcW w:w="1720" w:type="dxa"/>
            <w:tcBorders>
              <w:top w:val="nil"/>
              <w:left w:val="nil"/>
              <w:bottom w:val="single" w:color="auto" w:sz="4" w:space="0"/>
              <w:right w:val="single" w:color="auto" w:sz="8" w:space="0"/>
            </w:tcBorders>
            <w:shd w:val="clear" w:color="auto" w:fill="auto"/>
            <w:tcMar>
              <w:top w:w="0" w:type="dxa"/>
              <w:left w:w="108" w:type="dxa"/>
              <w:bottom w:w="0" w:type="dxa"/>
              <w:right w:w="108" w:type="dxa"/>
            </w:tcMar>
          </w:tcPr>
          <w:p w14:paraId="205CA00D">
            <w:pPr>
              <w:pStyle w:val="76"/>
              <w:rPr>
                <w:rFonts w:hint="default" w:ascii="Times New Roman Regular" w:hAnsi="Times New Roman Regular" w:cs="Times New Roman Regular"/>
                <w:highlight w:val="none"/>
              </w:rPr>
            </w:pPr>
            <w:r>
              <w:rPr>
                <w:rFonts w:hint="default" w:ascii="Times New Roman Regular" w:hAnsi="Times New Roman Regular" w:cs="Times New Roman Regular"/>
                <w:highlight w:val="none"/>
              </w:rPr>
              <w:t>64</w:t>
            </w:r>
          </w:p>
        </w:tc>
        <w:tc>
          <w:tcPr>
            <w:tcW w:w="1729" w:type="dxa"/>
            <w:tcBorders>
              <w:top w:val="nil"/>
              <w:left w:val="nil"/>
              <w:bottom w:val="single" w:color="auto" w:sz="4" w:space="0"/>
              <w:right w:val="single" w:color="auto" w:sz="8" w:space="0"/>
            </w:tcBorders>
            <w:shd w:val="clear" w:color="auto" w:fill="auto"/>
            <w:tcMar>
              <w:top w:w="0" w:type="dxa"/>
              <w:left w:w="108" w:type="dxa"/>
              <w:bottom w:w="0" w:type="dxa"/>
              <w:right w:w="108" w:type="dxa"/>
            </w:tcMar>
          </w:tcPr>
          <w:p w14:paraId="63F7B5AA">
            <w:pPr>
              <w:pStyle w:val="76"/>
              <w:rPr>
                <w:rFonts w:hint="default" w:ascii="Times New Roman Regular" w:hAnsi="Times New Roman Regular" w:cs="Times New Roman Regular"/>
                <w:highlight w:val="none"/>
                <w:lang w:eastAsia="zh-CN"/>
              </w:rPr>
            </w:pPr>
            <w:r>
              <w:rPr>
                <w:rFonts w:hint="default" w:ascii="Times New Roman Regular" w:hAnsi="Times New Roman Regular" w:cs="Times New Roman Regular"/>
                <w:highlight w:val="none"/>
                <w:lang w:eastAsia="zh-CN"/>
              </w:rPr>
              <w:t>32</w:t>
            </w:r>
          </w:p>
        </w:tc>
        <w:tc>
          <w:tcPr>
            <w:tcW w:w="1685" w:type="dxa"/>
            <w:tcBorders>
              <w:top w:val="nil"/>
              <w:left w:val="nil"/>
              <w:bottom w:val="single" w:color="auto" w:sz="4" w:space="0"/>
              <w:right w:val="single" w:color="auto" w:sz="8" w:space="0"/>
            </w:tcBorders>
            <w:shd w:val="clear" w:color="auto" w:fill="auto"/>
            <w:tcMar>
              <w:top w:w="0" w:type="dxa"/>
              <w:left w:w="108" w:type="dxa"/>
              <w:bottom w:w="0" w:type="dxa"/>
              <w:right w:w="108" w:type="dxa"/>
            </w:tcMar>
          </w:tcPr>
          <w:p w14:paraId="4D73BDAA">
            <w:pPr>
              <w:pStyle w:val="76"/>
              <w:rPr>
                <w:rFonts w:hint="default" w:ascii="Times New Roman Regular" w:hAnsi="Times New Roman Regular" w:cs="Times New Roman Regular"/>
                <w:highlight w:val="none"/>
              </w:rPr>
            </w:pPr>
            <w:r>
              <w:rPr>
                <w:rFonts w:hint="default" w:ascii="Times New Roman Regular" w:hAnsi="Times New Roman Regular" w:cs="Times New Roman Regular"/>
                <w:highlight w:val="none"/>
              </w:rPr>
              <w:t>2</w:t>
            </w:r>
          </w:p>
        </w:tc>
        <w:tc>
          <w:tcPr>
            <w:tcW w:w="1923" w:type="dxa"/>
            <w:tcBorders>
              <w:top w:val="nil"/>
              <w:left w:val="nil"/>
              <w:bottom w:val="single" w:color="auto" w:sz="4" w:space="0"/>
              <w:right w:val="single" w:color="auto" w:sz="8" w:space="0"/>
            </w:tcBorders>
            <w:shd w:val="clear" w:color="auto" w:fill="auto"/>
            <w:tcMar>
              <w:top w:w="0" w:type="dxa"/>
              <w:left w:w="108" w:type="dxa"/>
              <w:bottom w:w="0" w:type="dxa"/>
              <w:right w:w="108" w:type="dxa"/>
            </w:tcMar>
            <w:vAlign w:val="top"/>
          </w:tcPr>
          <w:p w14:paraId="67DE3AE5">
            <w:pPr>
              <w:keepNext/>
              <w:keepLines/>
              <w:widowControl w:val="0"/>
              <w:spacing w:line="256" w:lineRule="auto"/>
              <w:rPr>
                <w:rFonts w:hint="default" w:ascii="Times New Roman Regular" w:hAnsi="Times New Roman Regular" w:cs="Times New Roman Regular"/>
                <w:i w:val="0"/>
                <w:iCs w:val="0"/>
                <w:color w:val="FF0000"/>
                <w:highlight w:val="none"/>
              </w:rPr>
            </w:pPr>
            <w:r>
              <w:rPr>
                <w:rFonts w:hint="default" w:ascii="Times New Roman Regular" w:hAnsi="Times New Roman Regular" w:eastAsia="PMingLiU" w:cs="Times New Roman Regular"/>
                <w:i w:val="0"/>
                <w:iCs w:val="0"/>
                <w:strike/>
                <w:dstrike w:val="0"/>
                <w:sz w:val="18"/>
                <w:szCs w:val="20"/>
                <w:highlight w:val="none"/>
                <w:lang w:val="en-US"/>
              </w:rPr>
              <w:t>[</w:t>
            </w:r>
            <w:r>
              <w:rPr>
                <w:rFonts w:hint="default" w:ascii="Times New Roman Regular" w:hAnsi="Times New Roman Regular" w:eastAsia="PMingLiU" w:cs="Times New Roman Regular"/>
                <w:i w:val="0"/>
                <w:iCs w:val="0"/>
                <w:strike/>
                <w:dstrike w:val="0"/>
                <w:sz w:val="18"/>
                <w:szCs w:val="20"/>
                <w:highlight w:val="none"/>
                <w:lang w:val="zh-CN" w:eastAsia="zh-CN"/>
              </w:rPr>
              <w:t>1</w:t>
            </w:r>
            <w:r>
              <w:rPr>
                <w:rFonts w:hint="default" w:ascii="Times New Roman Regular" w:hAnsi="Times New Roman Regular" w:eastAsia="PMingLiU" w:cs="Times New Roman Regular"/>
                <w:i w:val="0"/>
                <w:iCs w:val="0"/>
                <w:strike/>
                <w:dstrike w:val="0"/>
                <w:sz w:val="18"/>
                <w:szCs w:val="20"/>
                <w:highlight w:val="none"/>
                <w:lang w:val="en-US"/>
              </w:rPr>
              <w:t xml:space="preserve">28, </w:t>
            </w:r>
            <w:r>
              <w:rPr>
                <w:rFonts w:hint="default" w:ascii="Times New Roman Regular" w:hAnsi="Times New Roman Regular" w:eastAsia="PMingLiU" w:cs="Times New Roman Regular"/>
                <w:i w:val="0"/>
                <w:iCs w:val="0"/>
                <w:color w:val="FF0000"/>
                <w:sz w:val="18"/>
                <w:szCs w:val="20"/>
                <w:highlight w:val="none"/>
                <w:lang w:val="en-US"/>
              </w:rPr>
              <w:t>256</w:t>
            </w:r>
            <w:r>
              <w:rPr>
                <w:rFonts w:hint="default" w:ascii="Times New Roman Regular" w:hAnsi="Times New Roman Regular" w:eastAsia="PMingLiU" w:cs="Times New Roman Regular"/>
                <w:i w:val="0"/>
                <w:iCs w:val="0"/>
                <w:strike/>
                <w:dstrike w:val="0"/>
                <w:sz w:val="18"/>
                <w:szCs w:val="20"/>
                <w:highlight w:val="none"/>
                <w:lang w:val="en-US"/>
              </w:rPr>
              <w:t>]</w:t>
            </w:r>
          </w:p>
        </w:tc>
      </w:tr>
      <w:tr w14:paraId="5A9F8CEC">
        <w:tc>
          <w:tcPr>
            <w:tcW w:w="9423" w:type="dxa"/>
            <w:gridSpan w:val="5"/>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14:paraId="366DFEB8">
            <w:pPr>
              <w:pStyle w:val="79"/>
              <w:rPr>
                <w:rFonts w:hint="default" w:ascii="Times New Roman Regular" w:hAnsi="Times New Roman Regular" w:cs="Times New Roman Regular"/>
                <w:lang w:eastAsia="zh-CN"/>
              </w:rPr>
            </w:pPr>
            <w:r>
              <w:rPr>
                <w:rFonts w:hint="default" w:ascii="Times New Roman Regular" w:hAnsi="Times New Roman Regular" w:cs="Times New Roman Regular"/>
                <w:lang w:eastAsia="zh-CN"/>
              </w:rPr>
              <w:t>*Note: EIRP limit is 63 dBm for the reference configuration. The EIRP value is scaled with the number of TxRUs.</w:t>
            </w:r>
          </w:p>
          <w:p w14:paraId="51D1952D">
            <w:pPr>
              <w:pStyle w:val="79"/>
              <w:ind w:left="0" w:leftChars="0" w:firstLine="0" w:firstLineChars="0"/>
              <w:rPr>
                <w:rFonts w:hint="default" w:ascii="Times New Roman Regular" w:hAnsi="Times New Roman Regular" w:cs="Times New Roman Regular"/>
                <w:lang w:val="en-US" w:eastAsia="zh-CN"/>
              </w:rPr>
            </w:pPr>
            <w:r>
              <w:rPr>
                <w:rFonts w:hint="default" w:ascii="Times New Roman Regular" w:hAnsi="Times New Roman Regular" w:cs="Times New Roman Regular"/>
                <w:color w:val="FF0000"/>
                <w:lang w:val="en-US" w:eastAsia="zh-CN"/>
              </w:rPr>
              <w:t>*Note: If total number of DL Tx/UL Rx RUs equals to 128, the EIRP value could be 56dBm.</w:t>
            </w:r>
          </w:p>
        </w:tc>
      </w:tr>
    </w:tbl>
    <w:p w14:paraId="6D8CA222">
      <w:pPr>
        <w:pStyle w:val="5"/>
        <w:rPr>
          <w:rFonts w:hint="default" w:ascii="Times New Roman Bold Italic" w:hAnsi="Times New Roman Bold Italic" w:cs="Times New Roman Bold Italic"/>
          <w:b/>
          <w:bCs/>
          <w:i/>
          <w:iCs/>
          <w:lang w:val="en-US" w:eastAsia="zh-CN"/>
        </w:rPr>
      </w:pPr>
    </w:p>
    <w:p w14:paraId="02138A9E">
      <w:pPr>
        <w:pStyle w:val="4"/>
        <w:numPr>
          <w:ilvl w:val="2"/>
          <w:numId w:val="0"/>
        </w:numPr>
        <w:tabs>
          <w:tab w:val="clear" w:pos="432"/>
          <w:tab w:val="clear" w:pos="720"/>
        </w:tabs>
        <w:ind w:leftChars="0"/>
        <w:rPr>
          <w:rFonts w:hint="default" w:ascii="Times New Roman Bold Italic" w:hAnsi="Times New Roman Bold Italic" w:cs="Times New Roman Bold Italic"/>
          <w:b/>
          <w:bCs/>
          <w:i/>
          <w:iCs/>
          <w:lang w:val="en-US" w:eastAsia="zh-CN"/>
        </w:rPr>
      </w:pPr>
      <w:r>
        <w:rPr>
          <w:rFonts w:hint="default"/>
          <w:lang w:val="en-US" w:eastAsia="zh-CN"/>
        </w:rPr>
        <w:t>4</w:t>
      </w:r>
      <w:r>
        <w:rPr>
          <w:rFonts w:hint="eastAsia"/>
          <w:lang w:val="en-US" w:eastAsia="zh-CN"/>
        </w:rPr>
        <w:t>.1.</w:t>
      </w:r>
      <w:r>
        <w:rPr>
          <w:rFonts w:hint="default"/>
          <w:lang w:val="en-US" w:eastAsia="zh-CN"/>
        </w:rPr>
        <w:t>2</w:t>
      </w:r>
      <w:r>
        <w:t xml:space="preserve"> </w:t>
      </w:r>
      <w:r>
        <w:rPr>
          <w:rFonts w:hint="default"/>
          <w:lang w:val="en-US" w:eastAsia="zh-CN"/>
        </w:rPr>
        <w:t>Power states of BS power consumption model in 6GR</w:t>
      </w:r>
    </w:p>
    <w:p w14:paraId="4B84A15B">
      <w:pPr>
        <w:pStyle w:val="85"/>
      </w:pPr>
      <w:r>
        <w:t xml:space="preserve">Leveraging the above reference configurations, the BS power model defines a set of </w:t>
      </w:r>
      <w:r>
        <w:rPr>
          <w:rFonts w:hint="default" w:ascii="Times New Roman" w:hAnsi="Times New Roman" w:cs="Times New Roman"/>
          <w:b w:val="0"/>
          <w:bCs w:val="0"/>
          <w:i w:val="0"/>
          <w:iCs w:val="0"/>
        </w:rPr>
        <w:t xml:space="preserve">power states corresponding to different activity levels. These include several sleep states (with no user traffic) and active states </w:t>
      </w:r>
      <w:r>
        <w:t>(downlink/uplink transmission). Table 2 summarizes the power states as defined (in Rel-18) and extended for 6G. Each state is characterized by its relative power consumption and the additional energy and time needed to transition into/out of the state. Lower-power states disable more components but require more time/energy to wake up.</w:t>
      </w:r>
    </w:p>
    <w:p w14:paraId="1314A9AE">
      <w:pPr>
        <w:keepNext w:val="0"/>
        <w:keepLines w:val="0"/>
        <w:widowControl/>
        <w:suppressLineNumbers w:val="0"/>
        <w:jc w:val="both"/>
        <w:rPr>
          <w:rFonts w:hint="eastAsia" w:ascii="Times New Roman" w:hAnsi="Times New Roman" w:eastAsia="宋体" w:cs="Times New Roman"/>
          <w:sz w:val="20"/>
          <w:szCs w:val="20"/>
          <w:lang w:val="en-US" w:eastAsia="en-US" w:bidi="ar-SA"/>
        </w:rPr>
      </w:pPr>
      <w:r>
        <w:rPr>
          <w:rFonts w:hint="default" w:ascii="Times New Roman" w:hAnsi="Times New Roman" w:eastAsia="宋体" w:cs="Times New Roman"/>
          <w:b w:val="0"/>
          <w:bCs w:val="0"/>
          <w:i w:val="0"/>
          <w:iCs w:val="0"/>
          <w:sz w:val="20"/>
          <w:szCs w:val="20"/>
          <w:lang w:val="en-US" w:eastAsia="zh-CN" w:bidi="ar-SA"/>
        </w:rPr>
        <w:t xml:space="preserve">Ultra Deep Sleep </w:t>
      </w:r>
      <w:r>
        <w:rPr>
          <w:rFonts w:hint="eastAsia" w:ascii="Times New Roman" w:hAnsi="Times New Roman" w:eastAsia="宋体" w:cs="Times New Roman"/>
          <w:b w:val="0"/>
          <w:bCs w:val="0"/>
          <w:i w:val="0"/>
          <w:iCs w:val="0"/>
          <w:sz w:val="20"/>
          <w:szCs w:val="20"/>
          <w:lang w:val="en-US" w:eastAsia="zh-CN" w:bidi="ar-SA"/>
        </w:rPr>
        <w:t>could be</w:t>
      </w:r>
      <w:r>
        <w:rPr>
          <w:rFonts w:hint="default" w:ascii="Times New Roman" w:hAnsi="Times New Roman" w:eastAsia="宋体" w:cs="Times New Roman"/>
          <w:b w:val="0"/>
          <w:bCs w:val="0"/>
          <w:i w:val="0"/>
          <w:iCs w:val="0"/>
          <w:sz w:val="20"/>
          <w:szCs w:val="20"/>
          <w:lang w:val="en-US" w:eastAsia="zh-CN" w:bidi="ar-SA"/>
        </w:rPr>
        <w:t xml:space="preserve"> a newly introduced power state in the 6G base station model that effectively represents a hibernation or quasi-off mode for the cell. In this state, there is neither any downlink transmission nor uplink reception on the main radio chain (all primary RF components are shut down). </w:t>
      </w:r>
      <w:r>
        <w:rPr>
          <w:rFonts w:ascii="Times New Roman" w:hAnsi="Times New Roman" w:eastAsia="宋体" w:cs="Times New Roman"/>
          <w:sz w:val="20"/>
          <w:szCs w:val="20"/>
          <w:lang w:val="en-US" w:eastAsia="zh-CN" w:bidi="ar-SA"/>
        </w:rPr>
        <w:t xml:space="preserve">The introduction of Ultra Deep Sleep and Active LPR states directly targets energy waste in scenarios of very low or no traffic, which are common in real networks (think of nightly off-peak hours, or rural and suburban cells during quiet periods). These states complement the existing micro/light/deep sleep modes by covering the extreme end of inactivity with minimal power draw and intelligent wake-up capability. </w:t>
      </w:r>
    </w:p>
    <w:p w14:paraId="63EFCF57">
      <w:pPr>
        <w:pStyle w:val="5"/>
        <w:jc w:val="center"/>
        <w:rPr>
          <w:rFonts w:hint="default" w:ascii="Times New Roman" w:hAnsi="Times New Roman" w:eastAsia="宋体" w:cs="Times New Roman"/>
          <w:i/>
          <w:iCs/>
          <w:lang w:val="en-US" w:eastAsia="zh-CN"/>
        </w:rPr>
      </w:pPr>
      <w:r>
        <w:rPr>
          <w:rFonts w:hint="eastAsia" w:ascii="Times New Roman" w:hAnsi="Times New Roman" w:eastAsia="宋体" w:cs="Times New Roman"/>
          <w:i/>
          <w:iCs/>
        </w:rPr>
        <w:t>T</w:t>
      </w:r>
      <w:r>
        <w:rPr>
          <w:rFonts w:ascii="Times New Roman" w:hAnsi="Times New Roman" w:eastAsia="宋体" w:cs="Times New Roman"/>
          <w:i/>
          <w:iCs/>
        </w:rPr>
        <w:t xml:space="preserve">able 2: </w:t>
      </w:r>
      <w:r>
        <w:rPr>
          <w:rFonts w:hint="default" w:ascii="Times New Roman" w:hAnsi="Times New Roman" w:eastAsia="宋体" w:cs="Times New Roman"/>
          <w:i/>
          <w:iCs/>
          <w:lang w:val="en-US"/>
        </w:rPr>
        <w:t>Potential p</w:t>
      </w:r>
      <w:r>
        <w:rPr>
          <w:rFonts w:ascii="Times New Roman" w:hAnsi="Times New Roman" w:eastAsia="宋体" w:cs="Times New Roman"/>
          <w:i/>
          <w:iCs/>
        </w:rPr>
        <w:t>ower states of BS power consumption model</w:t>
      </w:r>
      <w:r>
        <w:rPr>
          <w:rFonts w:hint="eastAsia" w:ascii="Times New Roman" w:hAnsi="Times New Roman" w:eastAsia="宋体" w:cs="Times New Roman"/>
          <w:i/>
          <w:iCs/>
          <w:lang w:val="en-US" w:eastAsia="zh-CN"/>
        </w:rPr>
        <w:t xml:space="preserve"> in 6GR</w:t>
      </w:r>
    </w:p>
    <w:tbl>
      <w:tblPr>
        <w:tblStyle w:val="27"/>
        <w:tblW w:w="9634" w:type="dxa"/>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1373"/>
        <w:gridCol w:w="4942"/>
        <w:gridCol w:w="992"/>
        <w:gridCol w:w="1194"/>
        <w:gridCol w:w="1133"/>
      </w:tblGrid>
      <w:tr w14:paraId="129FA80A">
        <w:tc>
          <w:tcPr>
            <w:tcW w:w="1373" w:type="dxa"/>
            <w:tcBorders>
              <w:top w:val="double" w:color="A5A5A5" w:sz="4" w:space="0"/>
              <w:left w:val="double" w:color="A5A5A5" w:sz="4" w:space="0"/>
              <w:bottom w:val="double" w:color="A5A5A5" w:sz="4" w:space="0"/>
              <w:right w:val="double" w:color="A5A5A5" w:sz="4" w:space="0"/>
            </w:tcBorders>
            <w:vAlign w:val="center"/>
          </w:tcPr>
          <w:p w14:paraId="2E947E21">
            <w:pPr>
              <w:pStyle w:val="77"/>
            </w:pPr>
            <w:r>
              <w:t>Power state</w:t>
            </w:r>
          </w:p>
        </w:tc>
        <w:tc>
          <w:tcPr>
            <w:tcW w:w="4942" w:type="dxa"/>
            <w:tcBorders>
              <w:top w:val="double" w:color="A5A5A5" w:sz="4" w:space="0"/>
              <w:left w:val="double" w:color="A5A5A5" w:sz="4" w:space="0"/>
              <w:bottom w:val="double" w:color="A5A5A5" w:sz="4" w:space="0"/>
              <w:right w:val="double" w:color="A5A5A5" w:sz="4" w:space="0"/>
            </w:tcBorders>
            <w:vAlign w:val="center"/>
          </w:tcPr>
          <w:p w14:paraId="11B783AB">
            <w:pPr>
              <w:pStyle w:val="77"/>
            </w:pPr>
            <w:r>
              <w:t>Characteristic</w:t>
            </w:r>
          </w:p>
        </w:tc>
        <w:tc>
          <w:tcPr>
            <w:tcW w:w="992" w:type="dxa"/>
            <w:tcBorders>
              <w:top w:val="double" w:color="A5A5A5" w:sz="4" w:space="0"/>
              <w:left w:val="double" w:color="A5A5A5" w:sz="4" w:space="0"/>
              <w:bottom w:val="double" w:color="A5A5A5" w:sz="4" w:space="0"/>
              <w:right w:val="double" w:color="A5A5A5" w:sz="4" w:space="0"/>
            </w:tcBorders>
            <w:vAlign w:val="center"/>
          </w:tcPr>
          <w:p w14:paraId="4842FC21">
            <w:pPr>
              <w:pStyle w:val="77"/>
              <w:rPr>
                <w:sz w:val="20"/>
                <w:lang w:val="en-US"/>
              </w:rPr>
            </w:pPr>
            <w:r>
              <w:rPr>
                <w:sz w:val="20"/>
                <w:lang w:val="en-US"/>
              </w:rPr>
              <w:t>Relative Power</w:t>
            </w:r>
            <w:r>
              <w:t xml:space="preserve"> </w:t>
            </w:r>
            <w:r>
              <w:rPr>
                <w:i/>
                <w:sz w:val="20"/>
              </w:rPr>
              <w:t>P</w:t>
            </w:r>
          </w:p>
        </w:tc>
        <w:tc>
          <w:tcPr>
            <w:tcW w:w="1194" w:type="dxa"/>
            <w:tcBorders>
              <w:top w:val="double" w:color="A5A5A5" w:sz="4" w:space="0"/>
              <w:left w:val="double" w:color="A5A5A5" w:sz="4" w:space="0"/>
              <w:bottom w:val="double" w:color="A5A5A5" w:sz="4" w:space="0"/>
              <w:right w:val="double" w:color="A5A5A5" w:sz="4" w:space="0"/>
            </w:tcBorders>
            <w:vAlign w:val="center"/>
          </w:tcPr>
          <w:p w14:paraId="4CCF62FE">
            <w:pPr>
              <w:pStyle w:val="77"/>
              <w:rPr>
                <w:rFonts w:eastAsia="Times New Roman"/>
                <w:sz w:val="20"/>
                <w:lang w:val="en-US"/>
              </w:rPr>
            </w:pPr>
            <w:r>
              <w:rPr>
                <w:sz w:val="20"/>
                <w:lang w:val="en-US"/>
              </w:rPr>
              <w:t>Additional transition energy</w:t>
            </w:r>
            <w:r>
              <w:rPr>
                <w:rFonts w:ascii="Times New Roman" w:hAnsi="Times New Roman"/>
                <w:sz w:val="20"/>
                <w:vertAlign w:val="superscript"/>
              </w:rPr>
              <w:t xml:space="preserve">2 </w:t>
            </w:r>
            <w:r>
              <w:rPr>
                <w:i/>
                <w:sz w:val="20"/>
              </w:rPr>
              <w:t>E</w:t>
            </w:r>
          </w:p>
        </w:tc>
        <w:tc>
          <w:tcPr>
            <w:tcW w:w="1133" w:type="dxa"/>
            <w:tcBorders>
              <w:top w:val="double" w:color="A5A5A5" w:sz="4" w:space="0"/>
              <w:left w:val="double" w:color="A5A5A5" w:sz="4" w:space="0"/>
              <w:bottom w:val="double" w:color="A5A5A5" w:sz="4" w:space="0"/>
              <w:right w:val="double" w:color="A5A5A5" w:sz="4" w:space="0"/>
            </w:tcBorders>
            <w:vAlign w:val="center"/>
          </w:tcPr>
          <w:p w14:paraId="4B157E6B">
            <w:pPr>
              <w:pStyle w:val="77"/>
              <w:rPr>
                <w:rFonts w:ascii="Times" w:hAnsi="Times"/>
                <w:szCs w:val="24"/>
              </w:rPr>
            </w:pPr>
            <w:r>
              <w:t>Total transition time</w:t>
            </w:r>
            <w:r>
              <w:rPr>
                <w:i/>
              </w:rPr>
              <w:t xml:space="preserve"> T</w:t>
            </w:r>
          </w:p>
        </w:tc>
      </w:tr>
      <w:tr w14:paraId="3598C144">
        <w:tc>
          <w:tcPr>
            <w:tcW w:w="1373" w:type="dxa"/>
            <w:tcBorders>
              <w:top w:val="double" w:color="A5A5A5" w:sz="4" w:space="0"/>
              <w:left w:val="double" w:color="A5A5A5" w:sz="4" w:space="0"/>
              <w:bottom w:val="double" w:color="A5A5A5" w:sz="4" w:space="0"/>
              <w:right w:val="double" w:color="A5A5A5" w:sz="4" w:space="0"/>
            </w:tcBorders>
            <w:vAlign w:val="center"/>
          </w:tcPr>
          <w:p w14:paraId="066E0D9D">
            <w:pPr>
              <w:pStyle w:val="78"/>
              <w:rPr>
                <w:rFonts w:hint="default"/>
                <w:color w:val="FF0000"/>
                <w:lang w:val="en-US"/>
              </w:rPr>
            </w:pPr>
            <w:r>
              <w:rPr>
                <w:rFonts w:hint="default"/>
                <w:color w:val="FF0000"/>
                <w:lang w:val="en-US"/>
              </w:rPr>
              <w:t>Ultra deep sleep</w:t>
            </w:r>
          </w:p>
        </w:tc>
        <w:tc>
          <w:tcPr>
            <w:tcW w:w="4942" w:type="dxa"/>
            <w:tcBorders>
              <w:top w:val="double" w:color="A5A5A5" w:sz="4" w:space="0"/>
              <w:left w:val="double" w:color="A5A5A5" w:sz="4" w:space="0"/>
              <w:bottom w:val="double" w:color="A5A5A5" w:sz="4" w:space="0"/>
              <w:right w:val="double" w:color="A5A5A5" w:sz="4" w:space="0"/>
            </w:tcBorders>
          </w:tcPr>
          <w:p w14:paraId="3E1A0557">
            <w:pPr>
              <w:pStyle w:val="76"/>
              <w:rPr>
                <w:rFonts w:hint="default"/>
                <w:color w:val="FF0000"/>
                <w:lang w:val="en-US" w:eastAsia="zh-CN"/>
              </w:rPr>
            </w:pPr>
            <w:r>
              <w:rPr>
                <w:rFonts w:hint="eastAsia"/>
                <w:color w:val="FF0000"/>
                <w:lang w:val="en-US" w:eastAsia="zh-CN"/>
              </w:rPr>
              <w:t xml:space="preserve">There </w:t>
            </w:r>
            <w:r>
              <w:rPr>
                <w:rFonts w:hint="default"/>
                <w:color w:val="FF0000"/>
                <w:lang w:val="en-US" w:eastAsia="zh-CN"/>
              </w:rPr>
              <w:t>is neither DL transmission nor UL reception.</w:t>
            </w:r>
          </w:p>
          <w:p w14:paraId="31787183">
            <w:pPr>
              <w:pStyle w:val="76"/>
              <w:rPr>
                <w:color w:val="FF0000"/>
              </w:rPr>
            </w:pPr>
            <w:r>
              <w:rPr>
                <w:color w:val="FF0000"/>
              </w:rPr>
              <w:t xml:space="preserve">Time interval for the sleep should be larger than the total transition time entering and leaving this state. </w:t>
            </w:r>
          </w:p>
          <w:p w14:paraId="1AC9E452">
            <w:pPr>
              <w:pStyle w:val="76"/>
              <w:rPr>
                <w:rFonts w:hint="default"/>
                <w:color w:val="FF0000"/>
                <w:lang w:val="en-US" w:eastAsia="zh-CN"/>
              </w:rPr>
            </w:pPr>
            <w:r>
              <w:rPr>
                <w:rFonts w:hint="default"/>
                <w:color w:val="FF0000"/>
                <w:lang w:val="en-US" w:eastAsia="zh-CN"/>
              </w:rPr>
              <w:t>Also including sleep state of LPR if supported.</w:t>
            </w:r>
          </w:p>
        </w:tc>
        <w:tc>
          <w:tcPr>
            <w:tcW w:w="992" w:type="dxa"/>
            <w:tcBorders>
              <w:top w:val="double" w:color="A5A5A5" w:sz="4" w:space="0"/>
              <w:left w:val="double" w:color="A5A5A5" w:sz="4" w:space="0"/>
              <w:bottom w:val="double" w:color="A5A5A5" w:sz="4" w:space="0"/>
              <w:right w:val="double" w:color="A5A5A5" w:sz="4" w:space="0"/>
            </w:tcBorders>
            <w:vAlign w:val="center"/>
          </w:tcPr>
          <w:p w14:paraId="4FE8F213">
            <w:pPr>
              <w:pStyle w:val="78"/>
              <w:rPr>
                <w:rFonts w:hint="default" w:eastAsiaTheme="minorEastAsia"/>
                <w:color w:val="FF0000"/>
                <w:lang w:val="en-US" w:eastAsia="zh-CN"/>
              </w:rPr>
            </w:pPr>
            <w:r>
              <w:rPr>
                <w:rFonts w:hint="eastAsia"/>
                <w:color w:val="FF0000"/>
                <w:lang w:val="en-US" w:eastAsia="zh-CN"/>
              </w:rPr>
              <w:t>P0</w:t>
            </w:r>
          </w:p>
        </w:tc>
        <w:tc>
          <w:tcPr>
            <w:tcW w:w="1194" w:type="dxa"/>
            <w:tcBorders>
              <w:top w:val="double" w:color="A5A5A5" w:sz="4" w:space="0"/>
              <w:left w:val="double" w:color="A5A5A5" w:sz="4" w:space="0"/>
              <w:bottom w:val="double" w:color="A5A5A5" w:sz="4" w:space="0"/>
              <w:right w:val="double" w:color="A5A5A5" w:sz="4" w:space="0"/>
            </w:tcBorders>
            <w:vAlign w:val="center"/>
          </w:tcPr>
          <w:p w14:paraId="353C9F48">
            <w:pPr>
              <w:pStyle w:val="78"/>
              <w:rPr>
                <w:rFonts w:hint="default" w:eastAsiaTheme="minorEastAsia"/>
                <w:color w:val="FF0000"/>
                <w:lang w:val="en-US" w:eastAsia="zh-CN"/>
              </w:rPr>
            </w:pPr>
            <w:r>
              <w:rPr>
                <w:rFonts w:hint="eastAsia"/>
                <w:color w:val="FF0000"/>
                <w:lang w:val="en-US" w:eastAsia="zh-CN"/>
              </w:rPr>
              <w:t>E0</w:t>
            </w:r>
          </w:p>
        </w:tc>
        <w:tc>
          <w:tcPr>
            <w:tcW w:w="1133" w:type="dxa"/>
            <w:tcBorders>
              <w:top w:val="double" w:color="A5A5A5" w:sz="4" w:space="0"/>
              <w:left w:val="double" w:color="A5A5A5" w:sz="4" w:space="0"/>
              <w:bottom w:val="double" w:color="A5A5A5" w:sz="4" w:space="0"/>
              <w:right w:val="double" w:color="A5A5A5" w:sz="4" w:space="0"/>
            </w:tcBorders>
            <w:vAlign w:val="center"/>
          </w:tcPr>
          <w:p w14:paraId="6345B056">
            <w:pPr>
              <w:pStyle w:val="78"/>
              <w:rPr>
                <w:rFonts w:hint="default" w:eastAsiaTheme="minorEastAsia"/>
                <w:color w:val="FF0000"/>
                <w:lang w:val="en-US" w:eastAsia="zh-CN"/>
              </w:rPr>
            </w:pPr>
            <w:r>
              <w:rPr>
                <w:rFonts w:hint="eastAsia"/>
                <w:color w:val="FF0000"/>
                <w:lang w:val="en-US" w:eastAsia="zh-CN"/>
              </w:rPr>
              <w:t>T0</w:t>
            </w:r>
          </w:p>
        </w:tc>
      </w:tr>
      <w:tr w14:paraId="038C1A08">
        <w:tc>
          <w:tcPr>
            <w:tcW w:w="1373" w:type="dxa"/>
            <w:tcBorders>
              <w:top w:val="double" w:color="A5A5A5" w:sz="4" w:space="0"/>
              <w:left w:val="double" w:color="A5A5A5" w:sz="4" w:space="0"/>
              <w:bottom w:val="double" w:color="A5A5A5" w:sz="4" w:space="0"/>
              <w:right w:val="double" w:color="A5A5A5" w:sz="4" w:space="0"/>
            </w:tcBorders>
            <w:vAlign w:val="center"/>
          </w:tcPr>
          <w:p w14:paraId="11FE40F5">
            <w:pPr>
              <w:pStyle w:val="78"/>
            </w:pPr>
            <w:r>
              <w:t>Deep sleep</w:t>
            </w:r>
          </w:p>
        </w:tc>
        <w:tc>
          <w:tcPr>
            <w:tcW w:w="4942" w:type="dxa"/>
            <w:tcBorders>
              <w:top w:val="double" w:color="A5A5A5" w:sz="4" w:space="0"/>
              <w:left w:val="double" w:color="A5A5A5" w:sz="4" w:space="0"/>
              <w:bottom w:val="double" w:color="A5A5A5" w:sz="4" w:space="0"/>
              <w:right w:val="double" w:color="A5A5A5" w:sz="4" w:space="0"/>
            </w:tcBorders>
          </w:tcPr>
          <w:p w14:paraId="620EA8C1">
            <w:pPr>
              <w:pStyle w:val="76"/>
            </w:pPr>
            <w:r>
              <w:t xml:space="preserve">There is neither DL transmission nor UL reception. </w:t>
            </w:r>
          </w:p>
          <w:p w14:paraId="676CE554">
            <w:pPr>
              <w:pStyle w:val="76"/>
            </w:pPr>
            <w:r>
              <w:t xml:space="preserve">Time interval for the sleep should be larger than the total transition time entering and leaving this state. </w:t>
            </w:r>
          </w:p>
        </w:tc>
        <w:tc>
          <w:tcPr>
            <w:tcW w:w="992" w:type="dxa"/>
            <w:tcBorders>
              <w:top w:val="double" w:color="A5A5A5" w:sz="4" w:space="0"/>
              <w:left w:val="double" w:color="A5A5A5" w:sz="4" w:space="0"/>
              <w:bottom w:val="double" w:color="A5A5A5" w:sz="4" w:space="0"/>
              <w:right w:val="double" w:color="A5A5A5" w:sz="4" w:space="0"/>
            </w:tcBorders>
            <w:vAlign w:val="center"/>
          </w:tcPr>
          <w:p w14:paraId="57A6B2F6">
            <w:pPr>
              <w:pStyle w:val="78"/>
            </w:pPr>
            <w:r>
              <w:t>P1</w:t>
            </w:r>
          </w:p>
        </w:tc>
        <w:tc>
          <w:tcPr>
            <w:tcW w:w="1194" w:type="dxa"/>
            <w:tcBorders>
              <w:top w:val="double" w:color="A5A5A5" w:sz="4" w:space="0"/>
              <w:left w:val="double" w:color="A5A5A5" w:sz="4" w:space="0"/>
              <w:bottom w:val="double" w:color="A5A5A5" w:sz="4" w:space="0"/>
              <w:right w:val="double" w:color="A5A5A5" w:sz="4" w:space="0"/>
            </w:tcBorders>
            <w:vAlign w:val="center"/>
          </w:tcPr>
          <w:p w14:paraId="312C7357">
            <w:pPr>
              <w:pStyle w:val="78"/>
            </w:pPr>
            <w:r>
              <w:t>E1</w:t>
            </w:r>
          </w:p>
        </w:tc>
        <w:tc>
          <w:tcPr>
            <w:tcW w:w="1133" w:type="dxa"/>
            <w:tcBorders>
              <w:top w:val="double" w:color="A5A5A5" w:sz="4" w:space="0"/>
              <w:left w:val="double" w:color="A5A5A5" w:sz="4" w:space="0"/>
              <w:bottom w:val="double" w:color="A5A5A5" w:sz="4" w:space="0"/>
              <w:right w:val="double" w:color="A5A5A5" w:sz="4" w:space="0"/>
            </w:tcBorders>
            <w:vAlign w:val="center"/>
          </w:tcPr>
          <w:p w14:paraId="1151A0A2">
            <w:pPr>
              <w:pStyle w:val="78"/>
            </w:pPr>
            <w:r>
              <w:t>T1</w:t>
            </w:r>
          </w:p>
        </w:tc>
      </w:tr>
      <w:tr w14:paraId="546AEC43">
        <w:tc>
          <w:tcPr>
            <w:tcW w:w="1373" w:type="dxa"/>
            <w:tcBorders>
              <w:top w:val="double" w:color="A5A5A5" w:sz="4" w:space="0"/>
              <w:left w:val="double" w:color="A5A5A5" w:sz="4" w:space="0"/>
              <w:bottom w:val="double" w:color="A5A5A5" w:sz="4" w:space="0"/>
              <w:right w:val="double" w:color="A5A5A5" w:sz="4" w:space="0"/>
            </w:tcBorders>
            <w:vAlign w:val="center"/>
          </w:tcPr>
          <w:p w14:paraId="30CF5AB5">
            <w:pPr>
              <w:pStyle w:val="78"/>
            </w:pPr>
            <w:r>
              <w:t>Light sleep</w:t>
            </w:r>
          </w:p>
        </w:tc>
        <w:tc>
          <w:tcPr>
            <w:tcW w:w="4942" w:type="dxa"/>
            <w:tcBorders>
              <w:top w:val="double" w:color="A5A5A5" w:sz="4" w:space="0"/>
              <w:left w:val="double" w:color="A5A5A5" w:sz="4" w:space="0"/>
              <w:bottom w:val="double" w:color="A5A5A5" w:sz="4" w:space="0"/>
              <w:right w:val="double" w:color="A5A5A5" w:sz="4" w:space="0"/>
            </w:tcBorders>
          </w:tcPr>
          <w:p w14:paraId="1DD79544">
            <w:pPr>
              <w:pStyle w:val="76"/>
            </w:pPr>
            <w:r>
              <w:t xml:space="preserve">There is neither DL transmission nor UL reception. </w:t>
            </w:r>
          </w:p>
          <w:p w14:paraId="1E4A3BCD">
            <w:pPr>
              <w:pStyle w:val="76"/>
            </w:pPr>
            <w:r>
              <w:t>Time interval for the sleep should be larger than the total transition time entering and leaving this state.</w:t>
            </w:r>
          </w:p>
        </w:tc>
        <w:tc>
          <w:tcPr>
            <w:tcW w:w="992" w:type="dxa"/>
            <w:tcBorders>
              <w:top w:val="double" w:color="A5A5A5" w:sz="4" w:space="0"/>
              <w:left w:val="double" w:color="A5A5A5" w:sz="4" w:space="0"/>
              <w:bottom w:val="double" w:color="A5A5A5" w:sz="4" w:space="0"/>
              <w:right w:val="double" w:color="A5A5A5" w:sz="4" w:space="0"/>
            </w:tcBorders>
            <w:vAlign w:val="center"/>
          </w:tcPr>
          <w:p w14:paraId="20E4F939">
            <w:pPr>
              <w:pStyle w:val="78"/>
            </w:pPr>
            <w:r>
              <w:t>P2</w:t>
            </w:r>
          </w:p>
        </w:tc>
        <w:tc>
          <w:tcPr>
            <w:tcW w:w="1194" w:type="dxa"/>
            <w:tcBorders>
              <w:top w:val="double" w:color="A5A5A5" w:sz="4" w:space="0"/>
              <w:left w:val="double" w:color="A5A5A5" w:sz="4" w:space="0"/>
              <w:bottom w:val="double" w:color="A5A5A5" w:sz="4" w:space="0"/>
              <w:right w:val="double" w:color="A5A5A5" w:sz="4" w:space="0"/>
            </w:tcBorders>
            <w:vAlign w:val="center"/>
          </w:tcPr>
          <w:p w14:paraId="0B39B9B5">
            <w:pPr>
              <w:pStyle w:val="78"/>
            </w:pPr>
            <w:r>
              <w:t>E2</w:t>
            </w:r>
          </w:p>
        </w:tc>
        <w:tc>
          <w:tcPr>
            <w:tcW w:w="1133" w:type="dxa"/>
            <w:tcBorders>
              <w:top w:val="double" w:color="A5A5A5" w:sz="4" w:space="0"/>
              <w:left w:val="double" w:color="A5A5A5" w:sz="4" w:space="0"/>
              <w:bottom w:val="double" w:color="A5A5A5" w:sz="4" w:space="0"/>
              <w:right w:val="double" w:color="A5A5A5" w:sz="4" w:space="0"/>
            </w:tcBorders>
            <w:vAlign w:val="center"/>
          </w:tcPr>
          <w:p w14:paraId="4095F87F">
            <w:pPr>
              <w:pStyle w:val="78"/>
            </w:pPr>
            <w:r>
              <w:t>T2</w:t>
            </w:r>
          </w:p>
        </w:tc>
      </w:tr>
      <w:tr w14:paraId="28A637FD">
        <w:tc>
          <w:tcPr>
            <w:tcW w:w="1373" w:type="dxa"/>
            <w:tcBorders>
              <w:top w:val="double" w:color="A5A5A5" w:sz="4" w:space="0"/>
              <w:left w:val="double" w:color="A5A5A5" w:sz="4" w:space="0"/>
              <w:bottom w:val="double" w:color="A5A5A5" w:sz="4" w:space="0"/>
              <w:right w:val="double" w:color="A5A5A5" w:sz="4" w:space="0"/>
            </w:tcBorders>
            <w:vAlign w:val="center"/>
          </w:tcPr>
          <w:p w14:paraId="24F6B529">
            <w:pPr>
              <w:pStyle w:val="78"/>
            </w:pPr>
            <w:r>
              <w:t>Micro sleep</w:t>
            </w:r>
          </w:p>
        </w:tc>
        <w:tc>
          <w:tcPr>
            <w:tcW w:w="4942" w:type="dxa"/>
            <w:tcBorders>
              <w:top w:val="double" w:color="A5A5A5" w:sz="4" w:space="0"/>
              <w:left w:val="double" w:color="A5A5A5" w:sz="4" w:space="0"/>
              <w:bottom w:val="double" w:color="A5A5A5" w:sz="4" w:space="0"/>
              <w:right w:val="double" w:color="A5A5A5" w:sz="4" w:space="0"/>
            </w:tcBorders>
          </w:tcPr>
          <w:p w14:paraId="2790B22C">
            <w:pPr>
              <w:pStyle w:val="76"/>
            </w:pPr>
            <w:r>
              <w:t>There is neither DL transmission nor UL reception.</w:t>
            </w:r>
          </w:p>
          <w:p w14:paraId="75101860">
            <w:pPr>
              <w:pStyle w:val="76"/>
            </w:pPr>
            <w:r>
              <w:t>Immediate transition is assumed for network energy saving study purpose from or to a non-sleep state.</w:t>
            </w:r>
          </w:p>
        </w:tc>
        <w:tc>
          <w:tcPr>
            <w:tcW w:w="992" w:type="dxa"/>
            <w:tcBorders>
              <w:top w:val="double" w:color="A5A5A5" w:sz="4" w:space="0"/>
              <w:left w:val="double" w:color="A5A5A5" w:sz="4" w:space="0"/>
              <w:bottom w:val="double" w:color="A5A5A5" w:sz="4" w:space="0"/>
              <w:right w:val="double" w:color="A5A5A5" w:sz="4" w:space="0"/>
            </w:tcBorders>
            <w:vAlign w:val="center"/>
          </w:tcPr>
          <w:p w14:paraId="05840547">
            <w:pPr>
              <w:pStyle w:val="78"/>
            </w:pPr>
            <w:r>
              <w:t>P3</w:t>
            </w:r>
          </w:p>
        </w:tc>
        <w:tc>
          <w:tcPr>
            <w:tcW w:w="1194" w:type="dxa"/>
            <w:tcBorders>
              <w:top w:val="double" w:color="A5A5A5" w:sz="4" w:space="0"/>
              <w:left w:val="double" w:color="A5A5A5" w:sz="4" w:space="0"/>
              <w:bottom w:val="double" w:color="A5A5A5" w:sz="4" w:space="0"/>
              <w:right w:val="double" w:color="A5A5A5" w:sz="4" w:space="0"/>
            </w:tcBorders>
            <w:vAlign w:val="center"/>
          </w:tcPr>
          <w:p w14:paraId="34CB2593">
            <w:pPr>
              <w:pStyle w:val="78"/>
            </w:pPr>
            <w:r>
              <w:t>0</w:t>
            </w:r>
          </w:p>
        </w:tc>
        <w:tc>
          <w:tcPr>
            <w:tcW w:w="1133" w:type="dxa"/>
            <w:tcBorders>
              <w:top w:val="double" w:color="A5A5A5" w:sz="4" w:space="0"/>
              <w:left w:val="double" w:color="A5A5A5" w:sz="4" w:space="0"/>
              <w:bottom w:val="double" w:color="A5A5A5" w:sz="4" w:space="0"/>
              <w:right w:val="double" w:color="A5A5A5" w:sz="4" w:space="0"/>
            </w:tcBorders>
            <w:vAlign w:val="center"/>
          </w:tcPr>
          <w:p w14:paraId="706D3564">
            <w:pPr>
              <w:pStyle w:val="78"/>
            </w:pPr>
            <w:r>
              <w:t>0</w:t>
            </w:r>
          </w:p>
        </w:tc>
      </w:tr>
      <w:tr w14:paraId="421C4201">
        <w:tc>
          <w:tcPr>
            <w:tcW w:w="1373" w:type="dxa"/>
            <w:tcBorders>
              <w:top w:val="double" w:color="A5A5A5" w:sz="4" w:space="0"/>
              <w:left w:val="double" w:color="A5A5A5" w:sz="4" w:space="0"/>
              <w:bottom w:val="double" w:color="A5A5A5" w:sz="4" w:space="0"/>
              <w:right w:val="double" w:color="A5A5A5" w:sz="4" w:space="0"/>
            </w:tcBorders>
            <w:vAlign w:val="center"/>
          </w:tcPr>
          <w:p w14:paraId="0BBEA5BA">
            <w:pPr>
              <w:pStyle w:val="78"/>
            </w:pPr>
            <w:r>
              <w:t>Active DL</w:t>
            </w:r>
          </w:p>
        </w:tc>
        <w:tc>
          <w:tcPr>
            <w:tcW w:w="4942" w:type="dxa"/>
            <w:tcBorders>
              <w:top w:val="double" w:color="A5A5A5" w:sz="4" w:space="0"/>
              <w:left w:val="double" w:color="A5A5A5" w:sz="4" w:space="0"/>
              <w:bottom w:val="double" w:color="A5A5A5" w:sz="4" w:space="0"/>
              <w:right w:val="double" w:color="A5A5A5" w:sz="4" w:space="0"/>
            </w:tcBorders>
          </w:tcPr>
          <w:p w14:paraId="2BE8889E">
            <w:pPr>
              <w:pStyle w:val="76"/>
            </w:pPr>
            <w:r>
              <w:t>There is only DL transmission.</w:t>
            </w:r>
          </w:p>
        </w:tc>
        <w:tc>
          <w:tcPr>
            <w:tcW w:w="992" w:type="dxa"/>
            <w:tcBorders>
              <w:top w:val="double" w:color="A5A5A5" w:sz="4" w:space="0"/>
              <w:left w:val="double" w:color="A5A5A5" w:sz="4" w:space="0"/>
              <w:bottom w:val="double" w:color="A5A5A5" w:sz="4" w:space="0"/>
              <w:right w:val="double" w:color="A5A5A5" w:sz="4" w:space="0"/>
            </w:tcBorders>
            <w:vAlign w:val="center"/>
          </w:tcPr>
          <w:p w14:paraId="12CDEA25">
            <w:pPr>
              <w:pStyle w:val="78"/>
            </w:pPr>
            <w:r>
              <w:t>P4</w:t>
            </w:r>
          </w:p>
        </w:tc>
        <w:tc>
          <w:tcPr>
            <w:tcW w:w="2327" w:type="dxa"/>
            <w:gridSpan w:val="2"/>
            <w:vMerge w:val="restart"/>
            <w:tcBorders>
              <w:top w:val="double" w:color="A5A5A5" w:sz="4" w:space="0"/>
              <w:left w:val="double" w:color="A5A5A5" w:sz="4" w:space="0"/>
              <w:right w:val="double" w:color="A5A5A5" w:sz="4" w:space="0"/>
            </w:tcBorders>
            <w:vAlign w:val="center"/>
          </w:tcPr>
          <w:p w14:paraId="07F44C35">
            <w:pPr>
              <w:pStyle w:val="78"/>
            </w:pPr>
            <w:r>
              <w:t>N</w:t>
            </w:r>
            <w:r>
              <w:rPr>
                <w:rFonts w:hint="eastAsia"/>
                <w:lang w:eastAsia="zh-CN"/>
              </w:rPr>
              <w:t>.</w:t>
            </w:r>
            <w:r>
              <w:t>A.</w:t>
            </w:r>
          </w:p>
        </w:tc>
      </w:tr>
      <w:tr w14:paraId="3BEA069A">
        <w:tc>
          <w:tcPr>
            <w:tcW w:w="1373" w:type="dxa"/>
            <w:tcBorders>
              <w:top w:val="double" w:color="A5A5A5" w:sz="4" w:space="0"/>
              <w:left w:val="double" w:color="A5A5A5" w:sz="4" w:space="0"/>
              <w:bottom w:val="double" w:color="A5A5A5" w:sz="4" w:space="0"/>
              <w:right w:val="double" w:color="A5A5A5" w:sz="4" w:space="0"/>
            </w:tcBorders>
            <w:vAlign w:val="center"/>
          </w:tcPr>
          <w:p w14:paraId="511D00E8">
            <w:pPr>
              <w:pStyle w:val="78"/>
            </w:pPr>
            <w:r>
              <w:t>Active UL</w:t>
            </w:r>
          </w:p>
        </w:tc>
        <w:tc>
          <w:tcPr>
            <w:tcW w:w="4942" w:type="dxa"/>
            <w:tcBorders>
              <w:top w:val="double" w:color="A5A5A5" w:sz="4" w:space="0"/>
              <w:left w:val="double" w:color="A5A5A5" w:sz="4" w:space="0"/>
              <w:bottom w:val="double" w:color="A5A5A5" w:sz="4" w:space="0"/>
              <w:right w:val="double" w:color="A5A5A5" w:sz="4" w:space="0"/>
            </w:tcBorders>
          </w:tcPr>
          <w:p w14:paraId="28B8D8DA">
            <w:pPr>
              <w:pStyle w:val="76"/>
            </w:pPr>
            <w:r>
              <w:t>There is only UL reception.</w:t>
            </w:r>
          </w:p>
        </w:tc>
        <w:tc>
          <w:tcPr>
            <w:tcW w:w="992" w:type="dxa"/>
            <w:tcBorders>
              <w:top w:val="double" w:color="A5A5A5" w:sz="4" w:space="0"/>
              <w:left w:val="double" w:color="A5A5A5" w:sz="4" w:space="0"/>
              <w:bottom w:val="double" w:color="A5A5A5" w:sz="4" w:space="0"/>
              <w:right w:val="double" w:color="A5A5A5" w:sz="4" w:space="0"/>
            </w:tcBorders>
            <w:vAlign w:val="center"/>
          </w:tcPr>
          <w:p w14:paraId="5663FDB5">
            <w:pPr>
              <w:spacing w:after="0"/>
              <w:jc w:val="center"/>
            </w:pPr>
            <w:r>
              <w:t>P5</w:t>
            </w:r>
          </w:p>
        </w:tc>
        <w:tc>
          <w:tcPr>
            <w:tcW w:w="2327" w:type="dxa"/>
            <w:gridSpan w:val="2"/>
            <w:vMerge w:val="continue"/>
            <w:tcBorders>
              <w:left w:val="double" w:color="A5A5A5" w:sz="4" w:space="0"/>
              <w:right w:val="double" w:color="A5A5A5" w:sz="4" w:space="0"/>
            </w:tcBorders>
          </w:tcPr>
          <w:p w14:paraId="535696F5"/>
        </w:tc>
      </w:tr>
      <w:tr w14:paraId="382C46F8">
        <w:tc>
          <w:tcPr>
            <w:tcW w:w="1373" w:type="dxa"/>
            <w:tcBorders>
              <w:top w:val="double" w:color="A5A5A5" w:sz="4" w:space="0"/>
              <w:left w:val="double" w:color="A5A5A5" w:sz="4" w:space="0"/>
              <w:bottom w:val="double" w:color="A5A5A5" w:sz="4" w:space="0"/>
              <w:right w:val="double" w:color="A5A5A5" w:sz="4" w:space="0"/>
            </w:tcBorders>
            <w:shd w:val="clear" w:color="auto" w:fill="auto"/>
            <w:vAlign w:val="center"/>
          </w:tcPr>
          <w:p w14:paraId="1549F195">
            <w:pPr>
              <w:pStyle w:val="78"/>
              <w:rPr>
                <w:rFonts w:hint="default" w:ascii="Arial" w:hAnsi="Arial" w:cs="Times New Roman" w:eastAsiaTheme="minorEastAsia"/>
                <w:sz w:val="18"/>
                <w:szCs w:val="20"/>
                <w:lang w:val="en-US" w:eastAsia="zh-CN" w:bidi="ar-SA"/>
              </w:rPr>
            </w:pPr>
            <w:r>
              <w:rPr>
                <w:rFonts w:hint="eastAsia"/>
                <w:color w:val="FF0000"/>
                <w:lang w:val="en-US" w:eastAsia="zh-CN"/>
              </w:rPr>
              <w:t>Active LPR</w:t>
            </w:r>
          </w:p>
        </w:tc>
        <w:tc>
          <w:tcPr>
            <w:tcW w:w="4942" w:type="dxa"/>
            <w:tcBorders>
              <w:top w:val="double" w:color="A5A5A5" w:sz="4" w:space="0"/>
              <w:left w:val="double" w:color="A5A5A5" w:sz="4" w:space="0"/>
              <w:bottom w:val="double" w:color="A5A5A5" w:sz="4" w:space="0"/>
              <w:right w:val="double" w:color="A5A5A5" w:sz="4" w:space="0"/>
            </w:tcBorders>
            <w:shd w:val="clear" w:color="auto" w:fill="auto"/>
            <w:vAlign w:val="top"/>
          </w:tcPr>
          <w:p w14:paraId="68787D7A">
            <w:pPr>
              <w:pStyle w:val="76"/>
              <w:rPr>
                <w:rFonts w:hint="default"/>
                <w:color w:val="FF0000"/>
                <w:lang w:val="en-US" w:eastAsia="zh-CN"/>
              </w:rPr>
            </w:pPr>
            <w:r>
              <w:rPr>
                <w:rFonts w:hint="eastAsia"/>
                <w:color w:val="FF0000"/>
                <w:lang w:val="en-US" w:eastAsia="zh-CN"/>
              </w:rPr>
              <w:t xml:space="preserve">There </w:t>
            </w:r>
            <w:r>
              <w:rPr>
                <w:rFonts w:hint="default"/>
                <w:color w:val="FF0000"/>
                <w:lang w:val="en-US" w:eastAsia="zh-CN"/>
              </w:rPr>
              <w:t>is neither DL transmission nor UL reception</w:t>
            </w:r>
            <w:r>
              <w:rPr>
                <w:rFonts w:hint="eastAsia"/>
                <w:color w:val="FF0000"/>
                <w:lang w:val="en-US" w:eastAsia="zh-CN"/>
              </w:rPr>
              <w:t xml:space="preserve"> for</w:t>
            </w:r>
            <w:r>
              <w:rPr>
                <w:rFonts w:hint="default"/>
                <w:color w:val="FF0000"/>
                <w:lang w:val="en-US" w:eastAsia="zh-CN"/>
              </w:rPr>
              <w:t xml:space="preserve"> main radio.</w:t>
            </w:r>
          </w:p>
          <w:p w14:paraId="7FDBE779">
            <w:pPr>
              <w:pStyle w:val="76"/>
              <w:rPr>
                <w:rFonts w:hint="default" w:ascii="Arial" w:hAnsi="Arial" w:cs="Times New Roman" w:eastAsiaTheme="minorEastAsia"/>
                <w:sz w:val="18"/>
                <w:szCs w:val="20"/>
                <w:lang w:val="en-US" w:eastAsia="zh-CN" w:bidi="ar-SA"/>
              </w:rPr>
            </w:pPr>
            <w:r>
              <w:rPr>
                <w:rFonts w:hint="default"/>
                <w:color w:val="FF0000"/>
                <w:lang w:val="en-US"/>
              </w:rPr>
              <w:t>There is only for DL transmission or UL reception for LPR</w:t>
            </w:r>
            <w:r>
              <w:rPr>
                <w:rFonts w:hint="eastAsia"/>
                <w:color w:val="FF0000"/>
                <w:lang w:val="en-US" w:eastAsia="zh-CN"/>
              </w:rPr>
              <w:t xml:space="preserve"> if</w:t>
            </w:r>
            <w:r>
              <w:rPr>
                <w:rFonts w:hint="default"/>
                <w:color w:val="FF0000"/>
                <w:lang w:val="en-US" w:eastAsia="zh-CN"/>
              </w:rPr>
              <w:t xml:space="preserve"> supported.</w:t>
            </w:r>
          </w:p>
        </w:tc>
        <w:tc>
          <w:tcPr>
            <w:tcW w:w="992" w:type="dxa"/>
            <w:tcBorders>
              <w:top w:val="double" w:color="A5A5A5" w:sz="4" w:space="0"/>
              <w:left w:val="double" w:color="A5A5A5" w:sz="4" w:space="0"/>
              <w:bottom w:val="double" w:color="A5A5A5" w:sz="4" w:space="0"/>
              <w:right w:val="double" w:color="A5A5A5" w:sz="4" w:space="0"/>
            </w:tcBorders>
            <w:shd w:val="clear" w:color="auto" w:fill="auto"/>
            <w:vAlign w:val="center"/>
          </w:tcPr>
          <w:p w14:paraId="47AC9A53">
            <w:pPr>
              <w:pStyle w:val="78"/>
              <w:rPr>
                <w:rFonts w:hint="default" w:ascii="Arial" w:hAnsi="Arial" w:cs="Times New Roman" w:eastAsiaTheme="minorEastAsia"/>
                <w:color w:val="FF0000"/>
                <w:sz w:val="18"/>
                <w:szCs w:val="20"/>
                <w:lang w:val="en-US" w:eastAsia="en-US" w:bidi="ar-SA"/>
              </w:rPr>
            </w:pPr>
            <w:r>
              <w:rPr>
                <w:rFonts w:hint="default"/>
                <w:color w:val="FF0000"/>
                <w:lang w:val="en-US"/>
              </w:rPr>
              <w:t>P</w:t>
            </w:r>
            <w:r>
              <w:rPr>
                <w:rFonts w:hint="default"/>
                <w:color w:val="FF0000"/>
                <w:vertAlign w:val="baseline"/>
                <w:lang w:val="en-US"/>
              </w:rPr>
              <w:t>6</w:t>
            </w:r>
          </w:p>
        </w:tc>
        <w:tc>
          <w:tcPr>
            <w:tcW w:w="2327" w:type="dxa"/>
            <w:gridSpan w:val="2"/>
            <w:tcBorders>
              <w:left w:val="double" w:color="A5A5A5" w:sz="4" w:space="0"/>
              <w:bottom w:val="double" w:color="A5A5A5" w:sz="4" w:space="0"/>
              <w:right w:val="double" w:color="A5A5A5" w:sz="4" w:space="0"/>
            </w:tcBorders>
            <w:shd w:val="clear" w:color="auto" w:fill="auto"/>
            <w:vAlign w:val="center"/>
          </w:tcPr>
          <w:p w14:paraId="636CF53B">
            <w:pPr>
              <w:pStyle w:val="78"/>
              <w:rPr>
                <w:rFonts w:hint="default" w:ascii="Arial" w:hAnsi="Arial" w:cs="Times New Roman" w:eastAsiaTheme="minorEastAsia"/>
                <w:color w:val="FF0000"/>
                <w:sz w:val="18"/>
                <w:szCs w:val="20"/>
                <w:lang w:val="en-US" w:eastAsia="zh-CN" w:bidi="ar-SA"/>
              </w:rPr>
            </w:pPr>
            <w:r>
              <w:rPr>
                <w:rFonts w:hint="default"/>
                <w:color w:val="FF0000"/>
                <w:lang w:val="en-US" w:eastAsia="zh-CN"/>
              </w:rPr>
              <w:t>N.A.</w:t>
            </w:r>
          </w:p>
        </w:tc>
      </w:tr>
    </w:tbl>
    <w:p w14:paraId="6E381F5C">
      <w:pPr>
        <w:pStyle w:val="5"/>
      </w:pPr>
      <w:r>
        <w:t>Under this model, BS power consumption is defined for several power states with relative power levels. Notably, active states are split into Active DL (downlink transmission active)</w:t>
      </w:r>
      <w:r>
        <w:rPr>
          <w:rFonts w:hint="default"/>
          <w:lang w:val="en-US"/>
        </w:rPr>
        <w:t xml:space="preserve">, </w:t>
      </w:r>
      <w:r>
        <w:t>Active UL (uplink reception active)</w:t>
      </w:r>
      <w:r>
        <w:rPr>
          <w:rFonts w:hint="default"/>
          <w:lang w:val="en-US"/>
        </w:rPr>
        <w:t xml:space="preserve"> as well as Active LPR</w:t>
      </w:r>
      <w:r>
        <w:t xml:space="preserve"> to reflect that downlink transmission (with power amplifiers driving high output power) consumes significantly more power than uplink reception. Additionally, multiple sleep states are defined (micro-sleep, light sleep, deep sleep</w:t>
      </w:r>
      <w:r>
        <w:rPr>
          <w:rFonts w:hint="default"/>
          <w:lang w:val="en-US"/>
        </w:rPr>
        <w:t>, ultra deep sleep</w:t>
      </w:r>
      <w:r>
        <w:t>), in which the BS transceiver chain is partially or fully turned off to save energy. Deep sleep is the most energy-efficient state (baseline), while micro-sleep is a lighter doze achieved rapidly between transmissions (but with higher power draw than deep sleep). For Category 2 hardware (today’s realistic technology), the model assigns, for example, relative power 1× to deep sleep (baseline),</w:t>
      </w:r>
      <w:r>
        <w:rPr>
          <w:rFonts w:hint="default"/>
          <w:lang w:val="en-US"/>
        </w:rPr>
        <w:t xml:space="preserve"> [0.1]</w:t>
      </w:r>
      <w:r>
        <w:t>× to</w:t>
      </w:r>
      <w:r>
        <w:rPr>
          <w:rFonts w:hint="default"/>
          <w:lang w:val="en-US"/>
        </w:rPr>
        <w:t xml:space="preserve"> ultra</w:t>
      </w:r>
      <w:r>
        <w:t xml:space="preserve"> deep sleep</w:t>
      </w:r>
      <w:r>
        <w:rPr>
          <w:rFonts w:hint="default"/>
          <w:lang w:val="en-US"/>
        </w:rPr>
        <w:t>,</w:t>
      </w:r>
      <w:r>
        <w:t xml:space="preserve"> ~2× to light sleep, ~5× to micro-sleep, and higher factors for active states (e.g. Active UL ≈4–6×, Active DL ≈17–32× the deep sleep power, depending on configuration). These ratios illustrate that even in minimal activity, a BS draws non-zero power, and that downlink transmission is the most power-hungry operation (due to PA and RF chains), whereas deep sleep drastically reduces consumption (at the cost of longer wake-up transition). Transition times are associated with each sleep state (e.g. deep sleep may require on the order of seconds to wake, light sleep hundreds of milliseconds).</w:t>
      </w:r>
    </w:p>
    <w:p w14:paraId="0978E03F">
      <w:pPr>
        <w:keepNext w:val="0"/>
        <w:keepLines w:val="0"/>
        <w:widowControl/>
        <w:suppressLineNumbers w:val="0"/>
        <w:jc w:val="both"/>
        <w:rPr>
          <w:rFonts w:ascii="Times New Roman" w:hAnsi="Times New Roman" w:eastAsia="宋体" w:cs="Times New Roman"/>
          <w:b/>
          <w:bCs/>
          <w:i/>
          <w:iCs/>
          <w:sz w:val="22"/>
          <w:szCs w:val="22"/>
          <w:lang w:val="en-US" w:eastAsia="zh-CN" w:bidi="ar-SA"/>
        </w:rPr>
      </w:pPr>
      <w:r>
        <w:rPr>
          <w:rFonts w:hint="default"/>
          <w:b/>
          <w:bCs/>
          <w:i/>
          <w:iCs/>
          <w:sz w:val="22"/>
          <w:szCs w:val="22"/>
          <w:lang w:val="en-US"/>
        </w:rPr>
        <w:t xml:space="preserve">Observation 10: </w:t>
      </w:r>
      <w:r>
        <w:rPr>
          <w:rFonts w:ascii="Times New Roman" w:hAnsi="Times New Roman" w:eastAsia="宋体" w:cs="Times New Roman"/>
          <w:b/>
          <w:bCs/>
          <w:i/>
          <w:iCs/>
          <w:sz w:val="22"/>
          <w:szCs w:val="22"/>
          <w:lang w:val="en-US" w:eastAsia="zh-CN" w:bidi="ar-SA"/>
        </w:rPr>
        <w:t xml:space="preserve">The introduction of Ultra Deep Sleep and Active LPR states directly targets energy waste in scenarios of very low or no traffic, which are common in real networks (think of nightly off-peak hours, or rural and suburban cells during quiet periods). </w:t>
      </w:r>
    </w:p>
    <w:p w14:paraId="79474E23">
      <w:pPr>
        <w:keepNext w:val="0"/>
        <w:keepLines w:val="0"/>
        <w:widowControl/>
        <w:suppressLineNumbers w:val="0"/>
        <w:jc w:val="both"/>
        <w:rPr>
          <w:rFonts w:hint="default" w:ascii="Times New Roman Bold Italic" w:hAnsi="Times New Roman Bold Italic" w:eastAsia="宋体" w:cs="Times New Roman Bold Italic"/>
          <w:b/>
          <w:bCs/>
          <w:i/>
          <w:iCs/>
          <w:color w:val="auto"/>
          <w:sz w:val="22"/>
          <w:szCs w:val="22"/>
          <w:lang w:val="en-US" w:eastAsia="zh-CN" w:bidi="ar-SA"/>
        </w:rPr>
      </w:pPr>
      <w:r>
        <w:rPr>
          <w:rFonts w:hint="default" w:ascii="Times New Roman Bold Italic" w:hAnsi="Times New Roman Bold Italic" w:eastAsia="宋体" w:cs="Times New Roman Bold Italic"/>
          <w:b/>
          <w:bCs/>
          <w:i/>
          <w:iCs/>
          <w:color w:val="auto"/>
          <w:sz w:val="22"/>
          <w:szCs w:val="22"/>
          <w:lang w:val="en-US" w:eastAsia="zh-CN" w:bidi="ar-SA"/>
        </w:rPr>
        <w:t xml:space="preserve">Proposal </w:t>
      </w:r>
      <w:r>
        <w:rPr>
          <w:rFonts w:hint="default" w:ascii="Times New Roman Bold Italic" w:hAnsi="Times New Roman Bold Italic" w:cs="Times New Roman Bold Italic"/>
          <w:b/>
          <w:bCs/>
          <w:i/>
          <w:iCs/>
          <w:color w:val="auto"/>
          <w:sz w:val="22"/>
          <w:szCs w:val="22"/>
          <w:lang w:val="en-US" w:eastAsia="zh-CN" w:bidi="ar-SA"/>
        </w:rPr>
        <w:t>9</w:t>
      </w:r>
      <w:r>
        <w:rPr>
          <w:rFonts w:hint="default" w:ascii="Times New Roman Bold Italic" w:hAnsi="Times New Roman Bold Italic" w:eastAsia="宋体" w:cs="Times New Roman Bold Italic"/>
          <w:b/>
          <w:bCs/>
          <w:i/>
          <w:iCs/>
          <w:color w:val="auto"/>
          <w:sz w:val="22"/>
          <w:szCs w:val="22"/>
          <w:lang w:val="en-US" w:eastAsia="zh-CN" w:bidi="ar-SA"/>
        </w:rPr>
        <w:t>: Except for Deep sleep, Light sleep, Micro sleep, Active DL/UL, consider additional power state for 6G BS power consumption model, at least including</w:t>
      </w:r>
    </w:p>
    <w:p w14:paraId="72137E08">
      <w:pPr>
        <w:pStyle w:val="76"/>
        <w:rPr>
          <w:rFonts w:hint="default" w:ascii="Times New Roman Bold Italic" w:hAnsi="Times New Roman Bold Italic" w:eastAsia="宋体" w:cs="Times New Roman Bold Italic"/>
          <w:b/>
          <w:bCs/>
          <w:i/>
          <w:iCs/>
          <w:color w:val="auto"/>
          <w:sz w:val="22"/>
          <w:szCs w:val="22"/>
          <w:lang w:val="en-US" w:eastAsia="zh-CN" w:bidi="ar-SA"/>
        </w:rPr>
      </w:pPr>
      <w:r>
        <w:rPr>
          <w:rFonts w:hint="default" w:ascii="Times New Roman Bold Italic" w:hAnsi="Times New Roman Bold Italic" w:eastAsia="宋体" w:cs="Times New Roman Bold Italic"/>
          <w:b/>
          <w:bCs/>
          <w:i/>
          <w:iCs/>
          <w:color w:val="auto"/>
          <w:sz w:val="22"/>
          <w:szCs w:val="22"/>
          <w:lang w:val="en-US" w:eastAsia="zh-CN" w:bidi="ar-SA"/>
        </w:rPr>
        <w:t>-- Ultra deep sleep</w:t>
      </w:r>
    </w:p>
    <w:p w14:paraId="168C4937">
      <w:pPr>
        <w:pStyle w:val="76"/>
        <w:numPr>
          <w:ilvl w:val="0"/>
          <w:numId w:val="19"/>
        </w:numPr>
        <w:ind w:left="840" w:leftChars="0" w:hanging="420" w:firstLineChars="0"/>
        <w:rPr>
          <w:rFonts w:hint="default" w:ascii="Times New Roman Bold Italic" w:hAnsi="Times New Roman Bold Italic" w:cs="Times New Roman Bold Italic"/>
          <w:i/>
          <w:iCs/>
          <w:color w:val="auto"/>
          <w:sz w:val="22"/>
          <w:szCs w:val="22"/>
          <w:lang w:val="en-US" w:eastAsia="zh-CN"/>
        </w:rPr>
      </w:pPr>
      <w:r>
        <w:rPr>
          <w:rFonts w:hint="default" w:ascii="Times New Roman Bold Italic" w:hAnsi="Times New Roman Bold Italic" w:cs="Times New Roman Bold Italic"/>
          <w:i/>
          <w:iCs/>
          <w:color w:val="auto"/>
          <w:sz w:val="22"/>
          <w:szCs w:val="22"/>
          <w:lang w:val="en-US" w:eastAsia="zh-CN"/>
        </w:rPr>
        <w:t>There is neither DL transmission nor UL reception.</w:t>
      </w:r>
    </w:p>
    <w:p w14:paraId="0F74E867">
      <w:pPr>
        <w:pStyle w:val="76"/>
        <w:numPr>
          <w:ilvl w:val="0"/>
          <w:numId w:val="19"/>
        </w:numPr>
        <w:ind w:left="840" w:leftChars="0" w:hanging="420" w:firstLineChars="0"/>
        <w:rPr>
          <w:rFonts w:hint="default" w:ascii="Times New Roman Bold Italic" w:hAnsi="Times New Roman Bold Italic" w:cs="Times New Roman Bold Italic"/>
          <w:i/>
          <w:iCs/>
          <w:color w:val="auto"/>
          <w:sz w:val="22"/>
          <w:szCs w:val="22"/>
        </w:rPr>
      </w:pPr>
      <w:r>
        <w:rPr>
          <w:rFonts w:hint="default" w:ascii="Times New Roman Bold Italic" w:hAnsi="Times New Roman Bold Italic" w:cs="Times New Roman Bold Italic"/>
          <w:i/>
          <w:iCs/>
          <w:color w:val="auto"/>
          <w:sz w:val="22"/>
          <w:szCs w:val="22"/>
        </w:rPr>
        <w:t xml:space="preserve">Time interval for the sleep should be larger than the total transition time entering and leaving this state. </w:t>
      </w:r>
    </w:p>
    <w:p w14:paraId="039DDCB7">
      <w:pPr>
        <w:keepNext w:val="0"/>
        <w:keepLines w:val="0"/>
        <w:widowControl/>
        <w:numPr>
          <w:ilvl w:val="0"/>
          <w:numId w:val="19"/>
        </w:numPr>
        <w:suppressLineNumbers w:val="0"/>
        <w:ind w:left="840" w:leftChars="0" w:hanging="420" w:firstLineChars="0"/>
        <w:jc w:val="both"/>
        <w:rPr>
          <w:rFonts w:hint="default" w:ascii="Times New Roman Bold Italic" w:hAnsi="Times New Roman Bold Italic" w:eastAsia="宋体" w:cs="Times New Roman Bold Italic"/>
          <w:b/>
          <w:bCs/>
          <w:i/>
          <w:iCs/>
          <w:color w:val="auto"/>
          <w:sz w:val="22"/>
          <w:szCs w:val="22"/>
          <w:lang w:val="en-US" w:eastAsia="en-US" w:bidi="ar-SA"/>
        </w:rPr>
      </w:pPr>
      <w:r>
        <w:rPr>
          <w:rFonts w:hint="default" w:ascii="Times New Roman Bold Italic" w:hAnsi="Times New Roman Bold Italic" w:cs="Times New Roman Bold Italic"/>
          <w:i/>
          <w:iCs/>
          <w:color w:val="auto"/>
          <w:sz w:val="22"/>
          <w:szCs w:val="22"/>
          <w:lang w:val="en-US" w:eastAsia="zh-CN"/>
        </w:rPr>
        <w:t>Also including sleep state of LPR if supported.</w:t>
      </w:r>
    </w:p>
    <w:p w14:paraId="4977C949">
      <w:pPr>
        <w:keepNext w:val="0"/>
        <w:keepLines w:val="0"/>
        <w:widowControl/>
        <w:numPr>
          <w:ilvl w:val="0"/>
          <w:numId w:val="0"/>
        </w:numPr>
        <w:suppressLineNumbers w:val="0"/>
        <w:jc w:val="both"/>
        <w:rPr>
          <w:rFonts w:hint="default" w:ascii="Times New Roman Bold Italic" w:hAnsi="Times New Roman Bold Italic" w:cs="Times New Roman Bold Italic"/>
          <w:i/>
          <w:iCs/>
          <w:color w:val="auto"/>
          <w:sz w:val="22"/>
          <w:szCs w:val="22"/>
          <w:lang w:val="en-US" w:eastAsia="zh-CN"/>
        </w:rPr>
      </w:pPr>
      <w:r>
        <w:rPr>
          <w:rFonts w:hint="default" w:ascii="Times New Roman Bold Italic" w:hAnsi="Times New Roman Bold Italic" w:cs="Times New Roman Bold Italic"/>
          <w:i/>
          <w:iCs/>
          <w:color w:val="auto"/>
          <w:sz w:val="22"/>
          <w:szCs w:val="22"/>
          <w:lang w:val="en-US" w:eastAsia="zh-CN"/>
        </w:rPr>
        <w:t>-- Active LPR</w:t>
      </w:r>
    </w:p>
    <w:p w14:paraId="5E232C25">
      <w:pPr>
        <w:pStyle w:val="76"/>
        <w:numPr>
          <w:ilvl w:val="0"/>
          <w:numId w:val="19"/>
        </w:numPr>
        <w:ind w:left="840" w:leftChars="0" w:hanging="420" w:firstLineChars="0"/>
        <w:rPr>
          <w:rFonts w:hint="default" w:ascii="Times New Roman Bold Italic" w:hAnsi="Times New Roman Bold Italic" w:cs="Times New Roman Bold Italic"/>
          <w:i/>
          <w:iCs/>
          <w:color w:val="auto"/>
          <w:sz w:val="22"/>
          <w:szCs w:val="22"/>
          <w:lang w:val="en-US" w:eastAsia="zh-CN"/>
        </w:rPr>
      </w:pPr>
      <w:r>
        <w:rPr>
          <w:rFonts w:hint="default" w:ascii="Times New Roman Bold Italic" w:hAnsi="Times New Roman Bold Italic" w:cs="Times New Roman Bold Italic"/>
          <w:i/>
          <w:iCs/>
          <w:color w:val="auto"/>
          <w:sz w:val="22"/>
          <w:szCs w:val="22"/>
          <w:lang w:val="en-US" w:eastAsia="zh-CN"/>
        </w:rPr>
        <w:t>There is neither DL transmission nor UL reception for main radio.</w:t>
      </w:r>
    </w:p>
    <w:p w14:paraId="4C5BE97E">
      <w:pPr>
        <w:pStyle w:val="76"/>
        <w:numPr>
          <w:ilvl w:val="0"/>
          <w:numId w:val="19"/>
        </w:numPr>
        <w:ind w:left="840" w:leftChars="0" w:hanging="420" w:firstLineChars="0"/>
        <w:rPr>
          <w:rFonts w:hint="default" w:ascii="Times New Roman Bold Italic" w:hAnsi="Times New Roman Bold Italic" w:cs="Times New Roman Bold Italic"/>
          <w:i/>
          <w:iCs/>
          <w:color w:val="auto"/>
          <w:sz w:val="22"/>
          <w:szCs w:val="22"/>
          <w:lang w:val="en-US"/>
        </w:rPr>
      </w:pPr>
      <w:r>
        <w:rPr>
          <w:rFonts w:hint="default" w:ascii="Times New Roman Bold Italic" w:hAnsi="Times New Roman Bold Italic" w:cs="Times New Roman Bold Italic"/>
          <w:i/>
          <w:iCs/>
          <w:color w:val="auto"/>
          <w:sz w:val="22"/>
          <w:szCs w:val="22"/>
          <w:lang w:val="en-US"/>
        </w:rPr>
        <w:t>There is only for DL transmission or UL reception for LPR</w:t>
      </w:r>
      <w:r>
        <w:rPr>
          <w:rFonts w:hint="default" w:ascii="Times New Roman Bold Italic" w:hAnsi="Times New Roman Bold Italic" w:cs="Times New Roman Bold Italic"/>
          <w:i/>
          <w:iCs/>
          <w:color w:val="auto"/>
          <w:sz w:val="22"/>
          <w:szCs w:val="22"/>
          <w:lang w:val="en-US" w:eastAsia="zh-CN"/>
        </w:rPr>
        <w:t xml:space="preserve"> if supported.</w:t>
      </w:r>
    </w:p>
    <w:p w14:paraId="704A4347">
      <w:pPr>
        <w:pStyle w:val="76"/>
        <w:numPr>
          <w:ilvl w:val="0"/>
          <w:numId w:val="19"/>
        </w:numPr>
        <w:ind w:left="840" w:leftChars="0" w:hanging="420" w:firstLineChars="0"/>
        <w:rPr>
          <w:rFonts w:hint="default" w:ascii="Times New Roman Bold Italic" w:hAnsi="Times New Roman Bold Italic" w:cs="Times New Roman Bold Italic"/>
          <w:i/>
          <w:iCs/>
          <w:color w:val="auto"/>
          <w:sz w:val="22"/>
          <w:szCs w:val="22"/>
          <w:lang w:val="en-US"/>
        </w:rPr>
      </w:pPr>
      <w:r>
        <w:rPr>
          <w:rFonts w:hint="default" w:ascii="Times New Roman Bold Italic" w:hAnsi="Times New Roman Bold Italic" w:cs="Times New Roman Bold Italic"/>
          <w:i/>
          <w:iCs/>
          <w:color w:val="auto"/>
          <w:sz w:val="22"/>
          <w:szCs w:val="22"/>
          <w:lang w:val="en-US" w:eastAsia="zh-CN"/>
        </w:rPr>
        <w:t>No need to consider additional transition energy E and total transition time T.</w:t>
      </w:r>
    </w:p>
    <w:p w14:paraId="086D1189">
      <w:pPr>
        <w:pStyle w:val="5"/>
      </w:pPr>
    </w:p>
    <w:p w14:paraId="37DD4489">
      <w:pPr>
        <w:pStyle w:val="5"/>
      </w:pPr>
      <w:r>
        <w:t xml:space="preserve">In the 5G-Advanced model, </w:t>
      </w:r>
      <w:r>
        <w:rPr>
          <w:rFonts w:hint="eastAsia"/>
          <w:lang w:val="en-US" w:eastAsia="zh-CN"/>
        </w:rPr>
        <w:t>C</w:t>
      </w:r>
      <w:r>
        <w:rPr>
          <w:rFonts w:hint="default" w:ascii="Times New Roman" w:hAnsi="Times New Roman" w:cs="Times New Roman"/>
          <w:b w:val="0"/>
          <w:bCs w:val="0"/>
          <w:i w:val="0"/>
          <w:iCs w:val="0"/>
        </w:rPr>
        <w:t>ategory 2 hardware (today’s realistic BS technology) was assumed for defining the above power state parameters. For Category 2, deep sleep serves as the baseline power level (normalized to 1×). Table 3 (left columns) shows the relative power values P for each state under Category 2, for the reference sets. For example, in a Category 2 macro (Set 1), light sleep consumes about 2.1× the deep sleep power, micro-sleep ~5.5×, Active UL ~6.5×, and Active DL ~32× the deep sleep power. These ratios reflect that even an “idle” but powered BS draws non-zero energy, and that transmitting at full power is by far the most power-hungry condition (due to power amplifier output and RF chain bias). Uplink reception is comparatively less costly, at ~4–6× deep sleep power, since no high-power RF output is involved. The multi-antenna configuration also affects these factors: for instance, the smaller FR2 cell (Set 3, only 2 TxRUs) has a lower Active DL factor (~17.6×) than the FR1 macro (64 TxRUs, 32×) because the transmit array and output power are much smaller. Likewise, a narrow-band, low-power base station (Set 2) shows slightly lower relative active power (~26× DL) since its RF output and processing workload are less. In all cases, however, deep sleep is orders of magnitude more efficient than any active state – highlighting why aggressive sleep modes are crucial for energy savings at low traffic.</w:t>
      </w:r>
    </w:p>
    <w:p w14:paraId="2D9BC927">
      <w:pPr>
        <w:pStyle w:val="5"/>
        <w:jc w:val="center"/>
        <w:rPr>
          <w:rFonts w:hint="default" w:ascii="Times New Roman Italic" w:hAnsi="Times New Roman Italic" w:cs="Times New Roman Italic"/>
          <w:i/>
          <w:iCs/>
          <w:lang w:val="en-US"/>
        </w:rPr>
      </w:pPr>
      <w:r>
        <w:rPr>
          <w:rFonts w:hint="default" w:ascii="Times New Roman Italic" w:hAnsi="Times New Roman Italic" w:cs="Times New Roman Italic"/>
          <w:i/>
          <w:iCs/>
          <w:lang w:val="en-US"/>
        </w:rPr>
        <w:t>Table 3: Relative power values P</w:t>
      </w:r>
      <w:r>
        <w:rPr>
          <w:rFonts w:hint="eastAsia" w:ascii="Times New Roman Italic" w:hAnsi="Times New Roman Italic" w:cs="Times New Roman Italic"/>
          <w:i/>
          <w:iCs/>
          <w:lang w:val="en-US" w:eastAsia="zh-CN"/>
        </w:rPr>
        <w:t xml:space="preserve"> </w:t>
      </w:r>
      <w:r>
        <w:rPr>
          <w:rFonts w:hint="default" w:ascii="Times New Roman Italic" w:hAnsi="Times New Roman Italic" w:cs="Times New Roman Italic"/>
          <w:i/>
          <w:iCs/>
          <w:lang w:val="en-US"/>
        </w:rPr>
        <w:t>for reference configuration for category 2 or NEW BS category (category 3)</w:t>
      </w:r>
    </w:p>
    <w:tbl>
      <w:tblPr>
        <w:tblStyle w:val="27"/>
        <w:tblW w:w="8999" w:type="dxa"/>
        <w:jc w:val="cente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1552"/>
        <w:gridCol w:w="879"/>
        <w:gridCol w:w="862"/>
        <w:gridCol w:w="831"/>
        <w:gridCol w:w="1088"/>
        <w:gridCol w:w="929"/>
        <w:gridCol w:w="1018"/>
        <w:gridCol w:w="939"/>
        <w:gridCol w:w="901"/>
      </w:tblGrid>
      <w:tr w14:paraId="1B46B11C">
        <w:trPr>
          <w:trHeight w:val="20" w:hRule="atLeast"/>
          <w:jc w:val="center"/>
        </w:trPr>
        <w:tc>
          <w:tcPr>
            <w:tcW w:w="0" w:type="auto"/>
            <w:vMerge w:val="restart"/>
            <w:vAlign w:val="center"/>
          </w:tcPr>
          <w:p w14:paraId="05230BF7">
            <w:pPr>
              <w:pStyle w:val="77"/>
              <w:rPr>
                <w:rFonts w:hint="eastAsia" w:eastAsiaTheme="minorEastAsia"/>
                <w:lang w:val="en-US" w:eastAsia="zh-CN"/>
              </w:rPr>
            </w:pPr>
            <w:r>
              <w:t>Power state</w:t>
            </w:r>
          </w:p>
        </w:tc>
        <w:tc>
          <w:tcPr>
            <w:tcW w:w="3600" w:type="dxa"/>
            <w:gridSpan w:val="4"/>
            <w:vAlign w:val="center"/>
          </w:tcPr>
          <w:p w14:paraId="0002270F">
            <w:pPr>
              <w:pStyle w:val="77"/>
            </w:pPr>
            <w:r>
              <w:t>BS Category 2</w:t>
            </w:r>
          </w:p>
        </w:tc>
        <w:tc>
          <w:tcPr>
            <w:tcW w:w="3725" w:type="dxa"/>
            <w:gridSpan w:val="4"/>
            <w:vAlign w:val="center"/>
          </w:tcPr>
          <w:p w14:paraId="0EB1A193">
            <w:pPr>
              <w:pStyle w:val="77"/>
              <w:rPr>
                <w:rFonts w:hint="eastAsia" w:eastAsiaTheme="minorEastAsia"/>
                <w:color w:val="FF0000"/>
                <w:lang w:val="en-US" w:eastAsia="zh-CN"/>
              </w:rPr>
            </w:pPr>
            <w:r>
              <w:rPr>
                <w:color w:val="FF0000"/>
              </w:rPr>
              <w:t xml:space="preserve">BS Category </w:t>
            </w:r>
            <w:r>
              <w:rPr>
                <w:rFonts w:hint="eastAsia"/>
                <w:color w:val="FF0000"/>
                <w:lang w:val="en-US" w:eastAsia="zh-CN"/>
              </w:rPr>
              <w:t>3</w:t>
            </w:r>
          </w:p>
        </w:tc>
      </w:tr>
      <w:tr w14:paraId="7F018D57">
        <w:trPr>
          <w:trHeight w:val="20" w:hRule="atLeast"/>
          <w:jc w:val="center"/>
        </w:trPr>
        <w:tc>
          <w:tcPr>
            <w:tcW w:w="0" w:type="auto"/>
            <w:vMerge w:val="continue"/>
            <w:vAlign w:val="center"/>
          </w:tcPr>
          <w:p w14:paraId="03274CAB">
            <w:pPr>
              <w:pStyle w:val="77"/>
            </w:pPr>
          </w:p>
        </w:tc>
        <w:tc>
          <w:tcPr>
            <w:tcW w:w="864" w:type="dxa"/>
            <w:vAlign w:val="center"/>
          </w:tcPr>
          <w:p w14:paraId="35494094">
            <w:pPr>
              <w:pStyle w:val="77"/>
            </w:pPr>
            <w:r>
              <w:rPr>
                <w:rFonts w:hint="eastAsia"/>
              </w:rPr>
              <w:t>S</w:t>
            </w:r>
            <w:r>
              <w:t>et 1</w:t>
            </w:r>
          </w:p>
        </w:tc>
        <w:tc>
          <w:tcPr>
            <w:tcW w:w="848" w:type="dxa"/>
            <w:vAlign w:val="center"/>
          </w:tcPr>
          <w:p w14:paraId="563F3938">
            <w:pPr>
              <w:pStyle w:val="77"/>
            </w:pPr>
            <w:r>
              <w:t>Set 2</w:t>
            </w:r>
          </w:p>
        </w:tc>
        <w:tc>
          <w:tcPr>
            <w:tcW w:w="818" w:type="dxa"/>
            <w:vAlign w:val="center"/>
          </w:tcPr>
          <w:p w14:paraId="5282EFCF">
            <w:pPr>
              <w:pStyle w:val="77"/>
            </w:pPr>
            <w:r>
              <w:t>Set 3</w:t>
            </w:r>
          </w:p>
        </w:tc>
        <w:tc>
          <w:tcPr>
            <w:tcW w:w="1070" w:type="dxa"/>
            <w:vAlign w:val="center"/>
          </w:tcPr>
          <w:p w14:paraId="3599801D">
            <w:pPr>
              <w:pStyle w:val="77"/>
              <w:rPr>
                <w:rFonts w:hint="default"/>
                <w:lang w:val="en-US"/>
              </w:rPr>
            </w:pPr>
            <w:r>
              <w:rPr>
                <w:rFonts w:hint="default"/>
                <w:color w:val="FF0000"/>
                <w:lang w:val="en-US"/>
              </w:rPr>
              <w:t>Set 4</w:t>
            </w:r>
          </w:p>
        </w:tc>
        <w:tc>
          <w:tcPr>
            <w:tcW w:w="914" w:type="dxa"/>
            <w:shd w:val="clear" w:color="auto" w:fill="auto"/>
            <w:vAlign w:val="center"/>
          </w:tcPr>
          <w:p w14:paraId="15B10426">
            <w:pPr>
              <w:pStyle w:val="77"/>
              <w:rPr>
                <w:rFonts w:ascii="Arial" w:hAnsi="Arial" w:cs="Times New Roman" w:eastAsiaTheme="minorEastAsia"/>
                <w:b/>
                <w:color w:val="FF0000"/>
                <w:sz w:val="18"/>
                <w:szCs w:val="20"/>
                <w:lang w:val="en-GB" w:eastAsia="en-US" w:bidi="ar-SA"/>
              </w:rPr>
            </w:pPr>
            <w:r>
              <w:rPr>
                <w:rFonts w:hint="eastAsia"/>
                <w:color w:val="FF0000"/>
              </w:rPr>
              <w:t>S</w:t>
            </w:r>
            <w:r>
              <w:rPr>
                <w:color w:val="FF0000"/>
              </w:rPr>
              <w:t>et 1</w:t>
            </w:r>
          </w:p>
        </w:tc>
        <w:tc>
          <w:tcPr>
            <w:tcW w:w="1001" w:type="dxa"/>
            <w:shd w:val="clear" w:color="auto" w:fill="auto"/>
            <w:vAlign w:val="center"/>
          </w:tcPr>
          <w:p w14:paraId="7AB6BDFE">
            <w:pPr>
              <w:pStyle w:val="77"/>
              <w:rPr>
                <w:rFonts w:ascii="Arial" w:hAnsi="Arial" w:cs="Times New Roman" w:eastAsiaTheme="minorEastAsia"/>
                <w:b/>
                <w:color w:val="FF0000"/>
                <w:sz w:val="18"/>
                <w:szCs w:val="20"/>
                <w:lang w:val="en-GB" w:eastAsia="en-US" w:bidi="ar-SA"/>
              </w:rPr>
            </w:pPr>
            <w:r>
              <w:rPr>
                <w:color w:val="FF0000"/>
              </w:rPr>
              <w:t>Set 2</w:t>
            </w:r>
          </w:p>
        </w:tc>
        <w:tc>
          <w:tcPr>
            <w:tcW w:w="924" w:type="dxa"/>
            <w:shd w:val="clear" w:color="auto" w:fill="auto"/>
            <w:vAlign w:val="center"/>
          </w:tcPr>
          <w:p w14:paraId="4A4CE064">
            <w:pPr>
              <w:pStyle w:val="77"/>
              <w:rPr>
                <w:rFonts w:ascii="Arial" w:hAnsi="Arial" w:cs="Times New Roman" w:eastAsiaTheme="minorEastAsia"/>
                <w:b/>
                <w:color w:val="FF0000"/>
                <w:sz w:val="18"/>
                <w:szCs w:val="20"/>
                <w:lang w:val="en-GB" w:eastAsia="en-US" w:bidi="ar-SA"/>
              </w:rPr>
            </w:pPr>
            <w:r>
              <w:rPr>
                <w:color w:val="FF0000"/>
              </w:rPr>
              <w:t>Set 3</w:t>
            </w:r>
          </w:p>
        </w:tc>
        <w:tc>
          <w:tcPr>
            <w:tcW w:w="886" w:type="dxa"/>
            <w:shd w:val="clear" w:color="auto" w:fill="auto"/>
            <w:vAlign w:val="center"/>
          </w:tcPr>
          <w:p w14:paraId="545E2605">
            <w:pPr>
              <w:pStyle w:val="77"/>
              <w:rPr>
                <w:rFonts w:hint="default" w:ascii="Arial" w:hAnsi="Arial" w:cs="Times New Roman" w:eastAsiaTheme="minorEastAsia"/>
                <w:b/>
                <w:color w:val="FF0000"/>
                <w:sz w:val="18"/>
                <w:szCs w:val="20"/>
                <w:lang w:val="en-US" w:eastAsia="en-US" w:bidi="ar-SA"/>
              </w:rPr>
            </w:pPr>
            <w:r>
              <w:rPr>
                <w:rFonts w:hint="default"/>
                <w:color w:val="FF0000"/>
                <w:lang w:val="en-US"/>
              </w:rPr>
              <w:t>Set 4</w:t>
            </w:r>
          </w:p>
        </w:tc>
      </w:tr>
      <w:tr w14:paraId="1385E5FA">
        <w:trPr>
          <w:trHeight w:val="90" w:hRule="atLeast"/>
          <w:jc w:val="center"/>
        </w:trPr>
        <w:tc>
          <w:tcPr>
            <w:tcW w:w="0" w:type="auto"/>
            <w:vAlign w:val="center"/>
          </w:tcPr>
          <w:p w14:paraId="394768F7">
            <w:pPr>
              <w:pStyle w:val="78"/>
              <w:rPr>
                <w:rFonts w:hint="default" w:eastAsiaTheme="minorEastAsia"/>
                <w:lang w:val="en-US" w:eastAsia="zh-CN"/>
              </w:rPr>
            </w:pPr>
            <w:r>
              <w:rPr>
                <w:rFonts w:hint="eastAsia"/>
                <w:color w:val="FF0000"/>
                <w:lang w:val="en-US" w:eastAsia="zh-CN"/>
              </w:rPr>
              <w:t>Ultra</w:t>
            </w:r>
            <w:r>
              <w:rPr>
                <w:rFonts w:hint="default"/>
                <w:color w:val="FF0000"/>
                <w:lang w:val="en-US" w:eastAsia="zh-CN"/>
              </w:rPr>
              <w:t xml:space="preserve"> deep sleep</w:t>
            </w:r>
          </w:p>
        </w:tc>
        <w:tc>
          <w:tcPr>
            <w:tcW w:w="3600" w:type="dxa"/>
            <w:gridSpan w:val="4"/>
            <w:vAlign w:val="center"/>
          </w:tcPr>
          <w:p w14:paraId="0F0EE823">
            <w:pPr>
              <w:pStyle w:val="78"/>
              <w:rPr>
                <w:rFonts w:hint="default" w:eastAsiaTheme="minorEastAsia"/>
                <w:lang w:val="en-US" w:eastAsia="zh-CN"/>
              </w:rPr>
            </w:pPr>
            <w:r>
              <w:rPr>
                <w:rFonts w:hint="eastAsia"/>
                <w:color w:val="FF0000"/>
                <w:lang w:val="en-US" w:eastAsia="zh-CN"/>
              </w:rPr>
              <w:t>--</w:t>
            </w:r>
          </w:p>
        </w:tc>
        <w:tc>
          <w:tcPr>
            <w:tcW w:w="3725" w:type="dxa"/>
            <w:gridSpan w:val="4"/>
            <w:vAlign w:val="center"/>
          </w:tcPr>
          <w:p w14:paraId="08B7A827">
            <w:pPr>
              <w:pStyle w:val="78"/>
              <w:rPr>
                <w:rFonts w:hint="default" w:eastAsiaTheme="minorEastAsia"/>
                <w:color w:val="FF0000"/>
                <w:lang w:val="en-US" w:eastAsia="zh-CN"/>
              </w:rPr>
            </w:pPr>
            <w:r>
              <w:rPr>
                <w:rFonts w:hint="default"/>
                <w:color w:val="FF0000"/>
                <w:lang w:val="en-US" w:eastAsia="zh-CN"/>
              </w:rPr>
              <w:t>[</w:t>
            </w:r>
            <w:r>
              <w:rPr>
                <w:rFonts w:hint="eastAsia"/>
                <w:color w:val="FF0000"/>
                <w:lang w:val="en-US" w:eastAsia="zh-CN"/>
              </w:rPr>
              <w:t>0.1</w:t>
            </w:r>
            <w:r>
              <w:rPr>
                <w:rFonts w:hint="default"/>
                <w:color w:val="FF0000"/>
                <w:lang w:val="en-US" w:eastAsia="zh-CN"/>
              </w:rPr>
              <w:t>]</w:t>
            </w:r>
          </w:p>
        </w:tc>
      </w:tr>
      <w:tr w14:paraId="24AFD72C">
        <w:trPr>
          <w:trHeight w:val="20" w:hRule="atLeast"/>
          <w:jc w:val="center"/>
        </w:trPr>
        <w:tc>
          <w:tcPr>
            <w:tcW w:w="0" w:type="auto"/>
            <w:vAlign w:val="center"/>
          </w:tcPr>
          <w:p w14:paraId="44DF92B2">
            <w:pPr>
              <w:pStyle w:val="78"/>
            </w:pPr>
            <w:r>
              <w:t>Deep sleep</w:t>
            </w:r>
          </w:p>
        </w:tc>
        <w:tc>
          <w:tcPr>
            <w:tcW w:w="3600" w:type="dxa"/>
            <w:gridSpan w:val="4"/>
            <w:vAlign w:val="center"/>
          </w:tcPr>
          <w:p w14:paraId="5F73A987">
            <w:pPr>
              <w:pStyle w:val="78"/>
            </w:pPr>
            <w:r>
              <w:t>1</w:t>
            </w:r>
          </w:p>
        </w:tc>
        <w:tc>
          <w:tcPr>
            <w:tcW w:w="3725" w:type="dxa"/>
            <w:gridSpan w:val="4"/>
            <w:vAlign w:val="center"/>
          </w:tcPr>
          <w:p w14:paraId="0EAE0FCB">
            <w:pPr>
              <w:pStyle w:val="78"/>
              <w:rPr>
                <w:rFonts w:hint="default" w:eastAsiaTheme="minorEastAsia"/>
                <w:color w:val="FF0000"/>
                <w:lang w:val="en-US" w:eastAsia="zh-CN"/>
              </w:rPr>
            </w:pPr>
            <w:r>
              <w:rPr>
                <w:rFonts w:hint="default"/>
                <w:color w:val="FF0000"/>
                <w:lang w:val="en-US" w:eastAsia="zh-CN"/>
              </w:rPr>
              <w:t>1</w:t>
            </w:r>
          </w:p>
        </w:tc>
      </w:tr>
      <w:tr w14:paraId="6FD5EF90">
        <w:trPr>
          <w:trHeight w:val="20" w:hRule="atLeast"/>
          <w:jc w:val="center"/>
        </w:trPr>
        <w:tc>
          <w:tcPr>
            <w:tcW w:w="0" w:type="auto"/>
            <w:vAlign w:val="center"/>
          </w:tcPr>
          <w:p w14:paraId="1A15C095">
            <w:pPr>
              <w:pStyle w:val="78"/>
            </w:pPr>
            <w:r>
              <w:t>Light sleep</w:t>
            </w:r>
          </w:p>
        </w:tc>
        <w:tc>
          <w:tcPr>
            <w:tcW w:w="3600" w:type="dxa"/>
            <w:gridSpan w:val="4"/>
            <w:vAlign w:val="center"/>
          </w:tcPr>
          <w:p w14:paraId="465B8D88">
            <w:pPr>
              <w:pStyle w:val="78"/>
            </w:pPr>
            <w:r>
              <w:t>2.1</w:t>
            </w:r>
          </w:p>
        </w:tc>
        <w:tc>
          <w:tcPr>
            <w:tcW w:w="914" w:type="dxa"/>
            <w:vAlign w:val="center"/>
          </w:tcPr>
          <w:p w14:paraId="201E5DBE">
            <w:pPr>
              <w:pStyle w:val="78"/>
              <w:rPr>
                <w:rFonts w:hint="default"/>
                <w:color w:val="FF0000"/>
                <w:lang w:val="en-US"/>
              </w:rPr>
            </w:pPr>
            <w:r>
              <w:rPr>
                <w:rFonts w:hint="default"/>
                <w:color w:val="FF0000"/>
                <w:lang w:val="en-US"/>
              </w:rPr>
              <w:t>1.3</w:t>
            </w:r>
          </w:p>
        </w:tc>
        <w:tc>
          <w:tcPr>
            <w:tcW w:w="1001" w:type="dxa"/>
            <w:vAlign w:val="center"/>
          </w:tcPr>
          <w:p w14:paraId="4CDAFD45">
            <w:pPr>
              <w:pStyle w:val="78"/>
              <w:rPr>
                <w:rFonts w:hint="default"/>
                <w:color w:val="FF0000"/>
                <w:lang w:val="en-US"/>
              </w:rPr>
            </w:pPr>
            <w:r>
              <w:rPr>
                <w:rFonts w:hint="default"/>
                <w:color w:val="FF0000"/>
                <w:lang w:val="en-US"/>
              </w:rPr>
              <w:t>1.2</w:t>
            </w:r>
          </w:p>
        </w:tc>
        <w:tc>
          <w:tcPr>
            <w:tcW w:w="924" w:type="dxa"/>
            <w:vAlign w:val="center"/>
          </w:tcPr>
          <w:p w14:paraId="13A0552E">
            <w:pPr>
              <w:pStyle w:val="78"/>
              <w:rPr>
                <w:rFonts w:hint="default"/>
                <w:color w:val="FF0000"/>
                <w:lang w:val="en-US"/>
              </w:rPr>
            </w:pPr>
            <w:r>
              <w:rPr>
                <w:rFonts w:hint="default"/>
                <w:color w:val="FF0000"/>
                <w:lang w:val="en-US"/>
              </w:rPr>
              <w:t>1.2</w:t>
            </w:r>
          </w:p>
        </w:tc>
        <w:tc>
          <w:tcPr>
            <w:tcW w:w="886" w:type="dxa"/>
            <w:vAlign w:val="center"/>
          </w:tcPr>
          <w:p w14:paraId="3E9621DA">
            <w:pPr>
              <w:pStyle w:val="78"/>
              <w:rPr>
                <w:rFonts w:hint="default"/>
                <w:color w:val="FF0000"/>
                <w:lang w:val="en-US"/>
              </w:rPr>
            </w:pPr>
            <w:r>
              <w:rPr>
                <w:rFonts w:hint="default"/>
                <w:color w:val="FF0000"/>
                <w:lang w:val="en-US"/>
              </w:rPr>
              <w:t>1.2</w:t>
            </w:r>
          </w:p>
        </w:tc>
      </w:tr>
      <w:tr w14:paraId="349BF43D">
        <w:trPr>
          <w:trHeight w:val="20" w:hRule="atLeast"/>
          <w:jc w:val="center"/>
        </w:trPr>
        <w:tc>
          <w:tcPr>
            <w:tcW w:w="0" w:type="auto"/>
            <w:vAlign w:val="center"/>
          </w:tcPr>
          <w:p w14:paraId="1F050877">
            <w:pPr>
              <w:pStyle w:val="78"/>
            </w:pPr>
            <w:r>
              <w:t>Micro sleep</w:t>
            </w:r>
          </w:p>
        </w:tc>
        <w:tc>
          <w:tcPr>
            <w:tcW w:w="864" w:type="dxa"/>
            <w:vAlign w:val="center"/>
          </w:tcPr>
          <w:p w14:paraId="24496C4D">
            <w:pPr>
              <w:pStyle w:val="78"/>
            </w:pPr>
            <w:r>
              <w:t>5.5</w:t>
            </w:r>
          </w:p>
        </w:tc>
        <w:tc>
          <w:tcPr>
            <w:tcW w:w="848" w:type="dxa"/>
            <w:vAlign w:val="center"/>
          </w:tcPr>
          <w:p w14:paraId="2FCC7C72">
            <w:pPr>
              <w:pStyle w:val="78"/>
            </w:pPr>
            <w:r>
              <w:t>5</w:t>
            </w:r>
          </w:p>
        </w:tc>
        <w:tc>
          <w:tcPr>
            <w:tcW w:w="818" w:type="dxa"/>
            <w:vAlign w:val="center"/>
          </w:tcPr>
          <w:p w14:paraId="52CEFD46">
            <w:pPr>
              <w:pStyle w:val="78"/>
            </w:pPr>
            <w:r>
              <w:rPr>
                <w:rFonts w:hint="eastAsia"/>
              </w:rPr>
              <w:t>3</w:t>
            </w:r>
          </w:p>
        </w:tc>
        <w:tc>
          <w:tcPr>
            <w:tcW w:w="1070" w:type="dxa"/>
            <w:vAlign w:val="center"/>
          </w:tcPr>
          <w:p w14:paraId="6E46C077">
            <w:pPr>
              <w:pStyle w:val="78"/>
              <w:rPr>
                <w:rFonts w:hint="default"/>
                <w:color w:val="FF0000"/>
                <w:lang w:val="en-US"/>
              </w:rPr>
            </w:pPr>
            <w:r>
              <w:rPr>
                <w:rFonts w:hint="default"/>
                <w:color w:val="FF0000"/>
                <w:lang w:val="en-US"/>
              </w:rPr>
              <w:t>TBD</w:t>
            </w:r>
          </w:p>
        </w:tc>
        <w:tc>
          <w:tcPr>
            <w:tcW w:w="914" w:type="dxa"/>
            <w:vAlign w:val="center"/>
          </w:tcPr>
          <w:p w14:paraId="1E9E43B5">
            <w:pPr>
              <w:pStyle w:val="78"/>
              <w:rPr>
                <w:rFonts w:hint="default"/>
                <w:color w:val="FF0000"/>
                <w:lang w:val="en-US"/>
              </w:rPr>
            </w:pPr>
            <w:r>
              <w:rPr>
                <w:rFonts w:hint="default"/>
                <w:color w:val="FF0000"/>
                <w:lang w:val="en-US"/>
              </w:rPr>
              <w:t>6.0</w:t>
            </w:r>
          </w:p>
        </w:tc>
        <w:tc>
          <w:tcPr>
            <w:tcW w:w="1001" w:type="dxa"/>
            <w:vAlign w:val="center"/>
          </w:tcPr>
          <w:p w14:paraId="6ADFCABF">
            <w:pPr>
              <w:pStyle w:val="78"/>
              <w:rPr>
                <w:rFonts w:hint="default"/>
                <w:color w:val="FF0000"/>
                <w:lang w:val="en-US"/>
              </w:rPr>
            </w:pPr>
            <w:r>
              <w:rPr>
                <w:rFonts w:hint="default"/>
                <w:color w:val="FF0000"/>
                <w:lang w:val="en-US"/>
              </w:rPr>
              <w:t>5.5</w:t>
            </w:r>
          </w:p>
        </w:tc>
        <w:tc>
          <w:tcPr>
            <w:tcW w:w="924" w:type="dxa"/>
            <w:vAlign w:val="center"/>
          </w:tcPr>
          <w:p w14:paraId="051B0448">
            <w:pPr>
              <w:pStyle w:val="78"/>
              <w:rPr>
                <w:rFonts w:hint="default"/>
                <w:color w:val="FF0000"/>
                <w:lang w:val="en-US"/>
              </w:rPr>
            </w:pPr>
            <w:r>
              <w:rPr>
                <w:rFonts w:hint="default"/>
                <w:color w:val="FF0000"/>
                <w:lang w:val="en-US"/>
              </w:rPr>
              <w:t>4.0</w:t>
            </w:r>
          </w:p>
        </w:tc>
        <w:tc>
          <w:tcPr>
            <w:tcW w:w="886" w:type="dxa"/>
            <w:vAlign w:val="center"/>
          </w:tcPr>
          <w:p w14:paraId="37EF4207">
            <w:pPr>
              <w:pStyle w:val="78"/>
              <w:rPr>
                <w:rFonts w:hint="default"/>
                <w:color w:val="FF0000"/>
                <w:lang w:val="en-US"/>
              </w:rPr>
            </w:pPr>
            <w:r>
              <w:rPr>
                <w:rFonts w:hint="default"/>
                <w:color w:val="FF0000"/>
                <w:lang w:val="en-US"/>
              </w:rPr>
              <w:t>8.0</w:t>
            </w:r>
          </w:p>
        </w:tc>
      </w:tr>
      <w:tr w14:paraId="074CBAF1">
        <w:trPr>
          <w:trHeight w:val="20" w:hRule="atLeast"/>
          <w:jc w:val="center"/>
        </w:trPr>
        <w:tc>
          <w:tcPr>
            <w:tcW w:w="0" w:type="auto"/>
            <w:vAlign w:val="center"/>
          </w:tcPr>
          <w:p w14:paraId="05C2FAF6">
            <w:pPr>
              <w:pStyle w:val="78"/>
            </w:pPr>
            <w:r>
              <w:t>Active DL</w:t>
            </w:r>
          </w:p>
        </w:tc>
        <w:tc>
          <w:tcPr>
            <w:tcW w:w="864" w:type="dxa"/>
            <w:vAlign w:val="center"/>
          </w:tcPr>
          <w:p w14:paraId="3E23A5C4">
            <w:pPr>
              <w:pStyle w:val="78"/>
            </w:pPr>
            <w:r>
              <w:t>32</w:t>
            </w:r>
          </w:p>
        </w:tc>
        <w:tc>
          <w:tcPr>
            <w:tcW w:w="848" w:type="dxa"/>
            <w:vAlign w:val="center"/>
          </w:tcPr>
          <w:p w14:paraId="789B15A9">
            <w:pPr>
              <w:pStyle w:val="78"/>
            </w:pPr>
            <w:r>
              <w:t>26</w:t>
            </w:r>
          </w:p>
        </w:tc>
        <w:tc>
          <w:tcPr>
            <w:tcW w:w="818" w:type="dxa"/>
            <w:vAlign w:val="center"/>
          </w:tcPr>
          <w:p w14:paraId="709ADCD8">
            <w:pPr>
              <w:pStyle w:val="78"/>
              <w:rPr>
                <w:strike/>
              </w:rPr>
            </w:pPr>
            <w:r>
              <w:t>17.6</w:t>
            </w:r>
          </w:p>
        </w:tc>
        <w:tc>
          <w:tcPr>
            <w:tcW w:w="1070" w:type="dxa"/>
            <w:vAlign w:val="center"/>
          </w:tcPr>
          <w:p w14:paraId="5B65995A">
            <w:pPr>
              <w:pStyle w:val="78"/>
              <w:rPr>
                <w:rFonts w:hint="default"/>
                <w:color w:val="FF0000"/>
                <w:lang w:val="en-US"/>
              </w:rPr>
            </w:pPr>
            <w:r>
              <w:rPr>
                <w:rFonts w:hint="default"/>
                <w:color w:val="FF0000"/>
                <w:lang w:val="en-US"/>
              </w:rPr>
              <w:t>TBD</w:t>
            </w:r>
          </w:p>
        </w:tc>
        <w:tc>
          <w:tcPr>
            <w:tcW w:w="914" w:type="dxa"/>
            <w:vAlign w:val="center"/>
          </w:tcPr>
          <w:p w14:paraId="7CC92428">
            <w:pPr>
              <w:pStyle w:val="78"/>
              <w:rPr>
                <w:rFonts w:hint="default"/>
                <w:color w:val="FF0000"/>
                <w:lang w:val="en-US"/>
              </w:rPr>
            </w:pPr>
            <w:r>
              <w:rPr>
                <w:rFonts w:hint="default"/>
                <w:color w:val="FF0000"/>
                <w:lang w:val="en-US"/>
              </w:rPr>
              <w:t>35</w:t>
            </w:r>
          </w:p>
        </w:tc>
        <w:tc>
          <w:tcPr>
            <w:tcW w:w="1001" w:type="dxa"/>
            <w:vAlign w:val="center"/>
          </w:tcPr>
          <w:p w14:paraId="0CFE7DB7">
            <w:pPr>
              <w:pStyle w:val="78"/>
              <w:rPr>
                <w:rFonts w:hint="default"/>
                <w:color w:val="FF0000"/>
                <w:lang w:val="en-US"/>
              </w:rPr>
            </w:pPr>
            <w:r>
              <w:rPr>
                <w:rFonts w:hint="default"/>
                <w:color w:val="FF0000"/>
                <w:lang w:val="en-US"/>
              </w:rPr>
              <w:t>30</w:t>
            </w:r>
          </w:p>
        </w:tc>
        <w:tc>
          <w:tcPr>
            <w:tcW w:w="924" w:type="dxa"/>
            <w:vAlign w:val="center"/>
          </w:tcPr>
          <w:p w14:paraId="566E261E">
            <w:pPr>
              <w:pStyle w:val="78"/>
              <w:rPr>
                <w:rFonts w:hint="default"/>
                <w:color w:val="FF0000"/>
                <w:lang w:val="en-US"/>
              </w:rPr>
            </w:pPr>
            <w:r>
              <w:rPr>
                <w:rFonts w:hint="default"/>
                <w:color w:val="FF0000"/>
                <w:lang w:val="en-US"/>
              </w:rPr>
              <w:t>20</w:t>
            </w:r>
          </w:p>
        </w:tc>
        <w:tc>
          <w:tcPr>
            <w:tcW w:w="886" w:type="dxa"/>
            <w:vAlign w:val="center"/>
          </w:tcPr>
          <w:p w14:paraId="125F74B5">
            <w:pPr>
              <w:pStyle w:val="78"/>
              <w:rPr>
                <w:rFonts w:hint="default"/>
                <w:color w:val="FF0000"/>
                <w:lang w:val="en-US"/>
              </w:rPr>
            </w:pPr>
            <w:r>
              <w:rPr>
                <w:rFonts w:hint="default"/>
                <w:color w:val="FF0000"/>
                <w:lang w:val="en-US"/>
              </w:rPr>
              <w:t>50</w:t>
            </w:r>
          </w:p>
        </w:tc>
      </w:tr>
      <w:tr w14:paraId="2430B7B8">
        <w:trPr>
          <w:trHeight w:val="20" w:hRule="atLeast"/>
          <w:jc w:val="center"/>
        </w:trPr>
        <w:tc>
          <w:tcPr>
            <w:tcW w:w="0" w:type="auto"/>
            <w:vAlign w:val="center"/>
          </w:tcPr>
          <w:p w14:paraId="140F2E7B">
            <w:pPr>
              <w:pStyle w:val="78"/>
            </w:pPr>
            <w:r>
              <w:t>Active UL</w:t>
            </w:r>
          </w:p>
        </w:tc>
        <w:tc>
          <w:tcPr>
            <w:tcW w:w="864" w:type="dxa"/>
            <w:vAlign w:val="center"/>
          </w:tcPr>
          <w:p w14:paraId="4189D203">
            <w:pPr>
              <w:pStyle w:val="78"/>
            </w:pPr>
            <w:r>
              <w:t>6.5</w:t>
            </w:r>
          </w:p>
        </w:tc>
        <w:tc>
          <w:tcPr>
            <w:tcW w:w="848" w:type="dxa"/>
            <w:vAlign w:val="center"/>
          </w:tcPr>
          <w:p w14:paraId="5F4A9607">
            <w:pPr>
              <w:pStyle w:val="78"/>
            </w:pPr>
            <w:r>
              <w:t>5.8</w:t>
            </w:r>
          </w:p>
        </w:tc>
        <w:tc>
          <w:tcPr>
            <w:tcW w:w="818" w:type="dxa"/>
            <w:vAlign w:val="center"/>
          </w:tcPr>
          <w:p w14:paraId="4B6A7BAF">
            <w:pPr>
              <w:pStyle w:val="78"/>
            </w:pPr>
            <w:r>
              <w:rPr>
                <w:rFonts w:hint="eastAsia"/>
              </w:rPr>
              <w:t>4</w:t>
            </w:r>
            <w:r>
              <w:t>.2</w:t>
            </w:r>
          </w:p>
        </w:tc>
        <w:tc>
          <w:tcPr>
            <w:tcW w:w="1070" w:type="dxa"/>
            <w:vAlign w:val="center"/>
          </w:tcPr>
          <w:p w14:paraId="66743575">
            <w:pPr>
              <w:pStyle w:val="78"/>
              <w:rPr>
                <w:rFonts w:hint="default"/>
                <w:color w:val="FF0000"/>
                <w:lang w:val="en-US"/>
              </w:rPr>
            </w:pPr>
            <w:r>
              <w:rPr>
                <w:rFonts w:hint="default"/>
                <w:color w:val="FF0000"/>
                <w:lang w:val="en-US"/>
              </w:rPr>
              <w:t>TBD</w:t>
            </w:r>
          </w:p>
        </w:tc>
        <w:tc>
          <w:tcPr>
            <w:tcW w:w="914" w:type="dxa"/>
            <w:shd w:val="clear" w:color="auto" w:fill="auto"/>
            <w:vAlign w:val="center"/>
          </w:tcPr>
          <w:p w14:paraId="096AFBD0">
            <w:pPr>
              <w:pStyle w:val="78"/>
              <w:rPr>
                <w:rFonts w:hint="eastAsia" w:ascii="Arial" w:hAnsi="Arial" w:cs="Times New Roman" w:eastAsiaTheme="minorEastAsia"/>
                <w:color w:val="FF0000"/>
                <w:sz w:val="18"/>
                <w:szCs w:val="20"/>
                <w:lang w:val="en-US" w:eastAsia="en-US" w:bidi="ar-SA"/>
              </w:rPr>
            </w:pPr>
            <w:r>
              <w:rPr>
                <w:rFonts w:hint="default"/>
                <w:color w:val="FF0000"/>
                <w:lang w:val="en-US"/>
              </w:rPr>
              <w:t>7.0</w:t>
            </w:r>
          </w:p>
        </w:tc>
        <w:tc>
          <w:tcPr>
            <w:tcW w:w="1001" w:type="dxa"/>
            <w:shd w:val="clear" w:color="auto" w:fill="auto"/>
            <w:vAlign w:val="center"/>
          </w:tcPr>
          <w:p w14:paraId="72841DE6">
            <w:pPr>
              <w:pStyle w:val="78"/>
              <w:rPr>
                <w:rFonts w:hint="eastAsia" w:ascii="Arial" w:hAnsi="Arial" w:cs="Times New Roman" w:eastAsiaTheme="minorEastAsia"/>
                <w:color w:val="FF0000"/>
                <w:sz w:val="18"/>
                <w:szCs w:val="20"/>
                <w:lang w:val="en-US" w:eastAsia="en-US" w:bidi="ar-SA"/>
              </w:rPr>
            </w:pPr>
            <w:r>
              <w:rPr>
                <w:rFonts w:hint="default"/>
                <w:color w:val="FF0000"/>
                <w:lang w:val="en-US"/>
              </w:rPr>
              <w:t>6.3</w:t>
            </w:r>
          </w:p>
        </w:tc>
        <w:tc>
          <w:tcPr>
            <w:tcW w:w="924" w:type="dxa"/>
            <w:shd w:val="clear" w:color="auto" w:fill="auto"/>
            <w:vAlign w:val="center"/>
          </w:tcPr>
          <w:p w14:paraId="423469D9">
            <w:pPr>
              <w:pStyle w:val="78"/>
              <w:rPr>
                <w:rFonts w:hint="eastAsia" w:ascii="Arial" w:hAnsi="Arial" w:cs="Times New Roman" w:eastAsiaTheme="minorEastAsia"/>
                <w:color w:val="FF0000"/>
                <w:sz w:val="18"/>
                <w:szCs w:val="20"/>
                <w:lang w:val="en-US" w:eastAsia="en-US" w:bidi="ar-SA"/>
              </w:rPr>
            </w:pPr>
            <w:r>
              <w:rPr>
                <w:rFonts w:hint="default"/>
                <w:color w:val="FF0000"/>
                <w:lang w:val="en-US"/>
              </w:rPr>
              <w:t>4.5</w:t>
            </w:r>
          </w:p>
        </w:tc>
        <w:tc>
          <w:tcPr>
            <w:tcW w:w="886" w:type="dxa"/>
            <w:shd w:val="clear" w:color="auto" w:fill="auto"/>
            <w:vAlign w:val="center"/>
          </w:tcPr>
          <w:p w14:paraId="5B493C91">
            <w:pPr>
              <w:pStyle w:val="78"/>
              <w:rPr>
                <w:rFonts w:hint="eastAsia" w:ascii="Arial" w:hAnsi="Arial" w:cs="Times New Roman" w:eastAsiaTheme="minorEastAsia"/>
                <w:color w:val="FF0000"/>
                <w:sz w:val="18"/>
                <w:szCs w:val="20"/>
                <w:lang w:val="en-US" w:eastAsia="en-US" w:bidi="ar-SA"/>
              </w:rPr>
            </w:pPr>
            <w:r>
              <w:rPr>
                <w:rFonts w:hint="default"/>
                <w:color w:val="FF0000"/>
                <w:lang w:val="en-US"/>
              </w:rPr>
              <w:t>8.0</w:t>
            </w:r>
          </w:p>
        </w:tc>
      </w:tr>
      <w:tr w14:paraId="5F0E5E90">
        <w:trPr>
          <w:trHeight w:val="20" w:hRule="atLeast"/>
          <w:jc w:val="center"/>
        </w:trPr>
        <w:tc>
          <w:tcPr>
            <w:tcW w:w="0" w:type="auto"/>
            <w:vAlign w:val="center"/>
          </w:tcPr>
          <w:p w14:paraId="3EF64319">
            <w:pPr>
              <w:pStyle w:val="78"/>
            </w:pPr>
            <w:r>
              <w:rPr>
                <w:rFonts w:hint="eastAsia"/>
                <w:color w:val="FF0000"/>
                <w:lang w:val="en-US" w:eastAsia="zh-CN"/>
              </w:rPr>
              <w:t>Active LPR</w:t>
            </w:r>
          </w:p>
        </w:tc>
        <w:tc>
          <w:tcPr>
            <w:tcW w:w="3600" w:type="dxa"/>
            <w:gridSpan w:val="4"/>
            <w:vAlign w:val="center"/>
          </w:tcPr>
          <w:p w14:paraId="4AB92F5C">
            <w:pPr>
              <w:pStyle w:val="78"/>
              <w:rPr>
                <w:rFonts w:hint="default"/>
                <w:color w:val="FF0000"/>
                <w:lang w:val="en-US"/>
              </w:rPr>
            </w:pPr>
            <w:r>
              <w:rPr>
                <w:rFonts w:hint="default"/>
                <w:color w:val="FF0000"/>
                <w:lang w:val="en-US"/>
              </w:rPr>
              <w:t>--</w:t>
            </w:r>
          </w:p>
        </w:tc>
        <w:tc>
          <w:tcPr>
            <w:tcW w:w="914" w:type="dxa"/>
            <w:vAlign w:val="center"/>
          </w:tcPr>
          <w:p w14:paraId="08BBA434">
            <w:pPr>
              <w:pStyle w:val="78"/>
              <w:rPr>
                <w:rFonts w:hint="default"/>
                <w:color w:val="FF0000"/>
                <w:lang w:val="en-US"/>
              </w:rPr>
            </w:pPr>
            <w:r>
              <w:rPr>
                <w:rFonts w:hint="default"/>
                <w:color w:val="FF0000"/>
                <w:lang w:val="en-US"/>
              </w:rPr>
              <w:t>--</w:t>
            </w:r>
          </w:p>
        </w:tc>
        <w:tc>
          <w:tcPr>
            <w:tcW w:w="1001" w:type="dxa"/>
            <w:vAlign w:val="center"/>
          </w:tcPr>
          <w:p w14:paraId="1B9454A0">
            <w:pPr>
              <w:pStyle w:val="78"/>
              <w:rPr>
                <w:rFonts w:hint="default"/>
                <w:color w:val="FF0000"/>
                <w:lang w:val="en-US"/>
              </w:rPr>
            </w:pPr>
            <w:r>
              <w:rPr>
                <w:rFonts w:hint="default"/>
                <w:color w:val="FF0000"/>
                <w:lang w:val="en-US"/>
              </w:rPr>
              <w:t>--</w:t>
            </w:r>
          </w:p>
        </w:tc>
        <w:tc>
          <w:tcPr>
            <w:tcW w:w="924" w:type="dxa"/>
            <w:vAlign w:val="center"/>
          </w:tcPr>
          <w:p w14:paraId="48A33809">
            <w:pPr>
              <w:pStyle w:val="78"/>
              <w:rPr>
                <w:rFonts w:hint="default"/>
                <w:color w:val="FF0000"/>
                <w:lang w:val="en-US"/>
              </w:rPr>
            </w:pPr>
            <w:r>
              <w:rPr>
                <w:rFonts w:hint="default"/>
                <w:color w:val="FF0000"/>
                <w:lang w:val="en-US"/>
              </w:rPr>
              <w:t>--</w:t>
            </w:r>
          </w:p>
        </w:tc>
        <w:tc>
          <w:tcPr>
            <w:tcW w:w="886" w:type="dxa"/>
            <w:vAlign w:val="center"/>
          </w:tcPr>
          <w:p w14:paraId="153F9411">
            <w:pPr>
              <w:pStyle w:val="78"/>
              <w:rPr>
                <w:rFonts w:hint="default"/>
                <w:color w:val="FF0000"/>
                <w:lang w:val="en-US"/>
              </w:rPr>
            </w:pPr>
            <w:r>
              <w:rPr>
                <w:rFonts w:hint="default"/>
                <w:color w:val="FF0000"/>
                <w:lang w:val="en-US"/>
              </w:rPr>
              <w:t>[1.1]</w:t>
            </w:r>
          </w:p>
        </w:tc>
      </w:tr>
      <w:tr w14:paraId="33E9475A">
        <w:trPr>
          <w:trHeight w:val="20" w:hRule="atLeast"/>
          <w:jc w:val="center"/>
        </w:trPr>
        <w:tc>
          <w:tcPr>
            <w:tcW w:w="8999" w:type="dxa"/>
            <w:gridSpan w:val="9"/>
            <w:vAlign w:val="center"/>
          </w:tcPr>
          <w:p w14:paraId="2F322941">
            <w:pPr>
              <w:pStyle w:val="78"/>
              <w:jc w:val="left"/>
              <w:rPr>
                <w:rFonts w:hint="default"/>
                <w:color w:val="FF0000"/>
                <w:lang w:val="en-US"/>
              </w:rPr>
            </w:pPr>
            <w:r>
              <w:rPr>
                <w:rFonts w:hint="default"/>
                <w:color w:val="FF0000"/>
                <w:lang w:val="en-US"/>
              </w:rPr>
              <w:t xml:space="preserve">Note: </w:t>
            </w:r>
            <w:r>
              <w:rPr>
                <w:color w:val="FF0000"/>
              </w:rPr>
              <w:t>Category 2 values for Set 4 (</w:t>
            </w:r>
            <w:r>
              <w:rPr>
                <w:rFonts w:hint="default"/>
                <w:color w:val="FF0000"/>
                <w:lang w:val="en-US"/>
              </w:rPr>
              <w:t>~</w:t>
            </w:r>
            <w:r>
              <w:rPr>
                <w:color w:val="FF0000"/>
              </w:rPr>
              <w:t xml:space="preserve">7 GHz) were not explicitly defined in Release 18 and are left “to be defined” above. They would likely exceed the Set 1 values (since a larger FR3 array can draw more power when fully active, as discussed). </w:t>
            </w:r>
          </w:p>
        </w:tc>
      </w:tr>
    </w:tbl>
    <w:p w14:paraId="0843F9C1">
      <w:pPr>
        <w:pStyle w:val="5"/>
        <w:rPr>
          <w:rFonts w:hint="default" w:ascii="Times New Roman" w:hAnsi="Times New Roman" w:cs="Times New Roman"/>
          <w:b w:val="0"/>
          <w:bCs w:val="0"/>
          <w:i w:val="0"/>
          <w:iCs w:val="0"/>
        </w:rPr>
      </w:pPr>
      <w:r>
        <w:rPr>
          <w:rFonts w:hint="default" w:ascii="Times New Roman" w:hAnsi="Times New Roman" w:cs="Times New Roman"/>
          <w:b w:val="0"/>
          <w:bCs w:val="0"/>
          <w:i w:val="0"/>
          <w:iCs w:val="0"/>
        </w:rPr>
        <w:t>As shown, Category 2 hardware exhibits moderate sleep power and relatively fast transitions, but its baseline is not negligible – even in deep sleep, some circuitry stays on (P≈1). This motivates exploring enhanced hardware categories for 6G. TR 38.864 already envisioned an idealized Category 1 with ultra-low sleep power and near-instant wake-up (essentially, zero transition time and energy overhead). While Category 1 is aspirational (not yet feasible), it provides a target for future designs with minimal idle power. On the other end, we now propose to introduce a Category 3 BS class with an alternative approach to energy saving: instead of prioritizing instantaneous wake, Category 3 aims to minimize power draw in idle periods by allowing much longer sleep states (even if wake-up is slow). This Category 3 could represent, for example, a base station equipped with a secondary low-power radio (LPR) for control signaling, enabling the main RF chains to shut down completely during inactivity. In Active LPR state, only a very low-power transmitter/receiver remains on to handle critical signals (e.g. a wake-up signal or minimal broadcast), consuming only ~10% above the deep sleep baseline (P6≈1.1 in Table 3). Meanwhile, the main Ultra-deep sleep state of Category 3 drives the primary radio hardware into effectively off mode, achieving an order of magnitude lower power than normal deep sleep (P0 ~0.1) at the cost of a substantial reactivation delay. By comparison, Category 2 cannot reach this level of power reduction because it must keep the primary radio partially ready to meet latency targets (no LPR backup), and Category 1 would achieve low power and fast wake-up but through advanced technology (e.g. near-zero idle power silicon) that is not yet available.</w:t>
      </w:r>
    </w:p>
    <w:p w14:paraId="6A8FF16D">
      <w:pPr>
        <w:pStyle w:val="5"/>
        <w:rPr>
          <w:rFonts w:hint="default" w:ascii="Times New Roman" w:hAnsi="Times New Roman" w:cs="Times New Roman"/>
          <w:b w:val="0"/>
          <w:bCs w:val="0"/>
          <w:i w:val="0"/>
          <w:iCs w:val="0"/>
        </w:rPr>
      </w:pPr>
    </w:p>
    <w:p w14:paraId="48513B0B">
      <w:pPr>
        <w:pStyle w:val="5"/>
        <w:rPr>
          <w:rFonts w:hint="default" w:ascii="Times New Roman Bold Italic" w:hAnsi="Times New Roman Bold Italic" w:cs="Times New Roman Bold Italic"/>
          <w:b/>
          <w:bCs/>
          <w:i/>
          <w:iCs/>
          <w:sz w:val="22"/>
          <w:szCs w:val="22"/>
        </w:rPr>
      </w:pPr>
      <w:r>
        <w:rPr>
          <w:rFonts w:hint="default" w:ascii="Times New Roman Bold Italic" w:hAnsi="Times New Roman Bold Italic" w:cs="Times New Roman Bold Italic"/>
          <w:b/>
          <w:bCs/>
          <w:i/>
          <w:iCs/>
          <w:sz w:val="22"/>
          <w:szCs w:val="22"/>
          <w:lang w:val="en-US" w:eastAsia="zh-CN"/>
        </w:rPr>
        <w:t xml:space="preserve">Observation 11: </w:t>
      </w:r>
      <w:r>
        <w:rPr>
          <w:rFonts w:hint="default" w:ascii="Times New Roman Bold Italic" w:hAnsi="Times New Roman Bold Italic" w:cs="Times New Roman Bold Italic"/>
          <w:b/>
          <w:bCs/>
          <w:i/>
          <w:iCs/>
          <w:sz w:val="22"/>
          <w:szCs w:val="22"/>
        </w:rPr>
        <w:t>The proposal of a Category 3 hardware class and an ultra-deep sleep state allows the model to capture an alternate power-saving strategy (slow, ultra-low-power idle mode with an auxiliary radio) alongside the Category 1 strategy (fast wake-up, low static power)</w:t>
      </w:r>
    </w:p>
    <w:p w14:paraId="22BD7F01">
      <w:pPr>
        <w:pStyle w:val="5"/>
        <w:rPr>
          <w:rFonts w:hint="default" w:ascii="Times New Roman Bold Italic" w:hAnsi="Times New Roman Bold Italic" w:cs="Times New Roman Bold Italic"/>
          <w:b/>
          <w:bCs/>
          <w:i/>
          <w:iCs/>
          <w:sz w:val="22"/>
          <w:szCs w:val="22"/>
          <w:lang w:val="en-US" w:eastAsia="zh-CN"/>
        </w:rPr>
      </w:pPr>
      <w:r>
        <w:rPr>
          <w:rFonts w:hint="eastAsia" w:ascii="Times New Roman Bold Italic" w:hAnsi="Times New Roman Bold Italic" w:cs="Times New Roman Bold Italic"/>
          <w:b/>
          <w:bCs/>
          <w:i/>
          <w:iCs/>
          <w:sz w:val="22"/>
          <w:szCs w:val="22"/>
          <w:lang w:val="en-US" w:eastAsia="zh-CN"/>
        </w:rPr>
        <w:t>Proposal</w:t>
      </w:r>
      <w:r>
        <w:rPr>
          <w:rFonts w:hint="default" w:ascii="Times New Roman Bold Italic" w:hAnsi="Times New Roman Bold Italic" w:cs="Times New Roman Bold Italic"/>
          <w:b/>
          <w:bCs/>
          <w:i/>
          <w:iCs/>
          <w:sz w:val="22"/>
          <w:szCs w:val="22"/>
          <w:lang w:val="en-US" w:eastAsia="zh-CN"/>
        </w:rPr>
        <w:t xml:space="preserve"> 10: Support Cat.2 as baseline for 6G EE study and evaluation, and consider new Cat 3 as extended model for 6G EE. </w:t>
      </w:r>
    </w:p>
    <w:p w14:paraId="04DFC8F8">
      <w:pPr>
        <w:pStyle w:val="5"/>
        <w:rPr>
          <w:rFonts w:hint="default" w:ascii="Times New Roman Bold Italic" w:hAnsi="Times New Roman Bold Italic" w:cs="Times New Roman Bold Italic"/>
          <w:b/>
          <w:bCs/>
          <w:i/>
          <w:iCs/>
          <w:sz w:val="22"/>
          <w:szCs w:val="22"/>
          <w:lang w:val="en-US" w:eastAsia="zh-CN"/>
        </w:rPr>
      </w:pPr>
      <w:r>
        <w:rPr>
          <w:rFonts w:hint="default" w:ascii="Times New Roman Bold Italic" w:hAnsi="Times New Roman Bold Italic" w:cs="Times New Roman Bold Italic"/>
          <w:b/>
          <w:bCs/>
          <w:i/>
          <w:iCs/>
          <w:sz w:val="22"/>
          <w:szCs w:val="22"/>
          <w:lang w:val="en-US" w:eastAsia="zh-CN"/>
        </w:rPr>
        <w:t>Proposal 11: For Cat 2 and Cat 3, update TR 38.864</w:t>
      </w:r>
      <w:r>
        <w:rPr>
          <w:rFonts w:hint="default" w:ascii="Times New Roman Bold Italic" w:hAnsi="Times New Roman Bold Italic" w:eastAsia="宋体" w:cs="Times New Roman Bold Italic"/>
          <w:b/>
          <w:bCs/>
          <w:i/>
          <w:iCs/>
          <w:sz w:val="22"/>
          <w:szCs w:val="22"/>
          <w:lang w:val="en-US" w:eastAsia="zh-CN"/>
        </w:rPr>
        <w:t xml:space="preserve"> relative power values P</w:t>
      </w:r>
      <w:r>
        <w:rPr>
          <w:rFonts w:hint="default" w:ascii="Times New Roman Bold Italic" w:hAnsi="Times New Roman Bold Italic" w:cs="Times New Roman Bold Italic"/>
          <w:b/>
          <w:bCs/>
          <w:i/>
          <w:iCs/>
          <w:sz w:val="22"/>
          <w:szCs w:val="22"/>
          <w:lang w:val="en-US" w:eastAsia="zh-CN"/>
        </w:rPr>
        <w:t xml:space="preserve"> as below</w:t>
      </w:r>
    </w:p>
    <w:p w14:paraId="68F6AAFE">
      <w:pPr>
        <w:pStyle w:val="5"/>
        <w:jc w:val="center"/>
        <w:rPr>
          <w:rFonts w:hint="default" w:ascii="Times New Roman Italic" w:hAnsi="Times New Roman Italic" w:cs="Times New Roman Italic"/>
          <w:i/>
          <w:iCs/>
          <w:lang w:val="en-US"/>
        </w:rPr>
      </w:pPr>
      <w:r>
        <w:rPr>
          <w:rFonts w:hint="default" w:ascii="Times New Roman Italic" w:hAnsi="Times New Roman Italic" w:cs="Times New Roman Italic"/>
          <w:i/>
          <w:iCs/>
          <w:lang w:val="en-US"/>
        </w:rPr>
        <w:t>Table 3: Relative power values P</w:t>
      </w:r>
      <w:r>
        <w:rPr>
          <w:rFonts w:hint="eastAsia" w:ascii="Times New Roman Italic" w:hAnsi="Times New Roman Italic" w:cs="Times New Roman Italic"/>
          <w:i/>
          <w:iCs/>
          <w:lang w:val="en-US" w:eastAsia="zh-CN"/>
        </w:rPr>
        <w:t xml:space="preserve"> </w:t>
      </w:r>
      <w:r>
        <w:rPr>
          <w:rFonts w:hint="default" w:ascii="Times New Roman Italic" w:hAnsi="Times New Roman Italic" w:cs="Times New Roman Italic"/>
          <w:i/>
          <w:iCs/>
          <w:lang w:val="en-US"/>
        </w:rPr>
        <w:t>for reference configuration for category 2 or NEW BS category (category 3)</w:t>
      </w:r>
    </w:p>
    <w:tbl>
      <w:tblPr>
        <w:tblStyle w:val="27"/>
        <w:tblW w:w="8999" w:type="dxa"/>
        <w:jc w:val="cente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1552"/>
        <w:gridCol w:w="879"/>
        <w:gridCol w:w="862"/>
        <w:gridCol w:w="831"/>
        <w:gridCol w:w="1088"/>
        <w:gridCol w:w="929"/>
        <w:gridCol w:w="1018"/>
        <w:gridCol w:w="939"/>
        <w:gridCol w:w="901"/>
      </w:tblGrid>
      <w:tr w14:paraId="261B8C8F">
        <w:trPr>
          <w:trHeight w:val="20" w:hRule="atLeast"/>
          <w:jc w:val="center"/>
        </w:trPr>
        <w:tc>
          <w:tcPr>
            <w:tcW w:w="0" w:type="auto"/>
            <w:vMerge w:val="restart"/>
            <w:vAlign w:val="center"/>
          </w:tcPr>
          <w:p w14:paraId="01C18EF0">
            <w:pPr>
              <w:pStyle w:val="77"/>
              <w:rPr>
                <w:rFonts w:hint="eastAsia" w:eastAsiaTheme="minorEastAsia"/>
                <w:lang w:val="en-US" w:eastAsia="zh-CN"/>
              </w:rPr>
            </w:pPr>
            <w:r>
              <w:t>Power state</w:t>
            </w:r>
          </w:p>
        </w:tc>
        <w:tc>
          <w:tcPr>
            <w:tcW w:w="3600" w:type="dxa"/>
            <w:gridSpan w:val="4"/>
            <w:vAlign w:val="center"/>
          </w:tcPr>
          <w:p w14:paraId="676643ED">
            <w:pPr>
              <w:pStyle w:val="77"/>
            </w:pPr>
            <w:r>
              <w:t>BS Category 2</w:t>
            </w:r>
          </w:p>
        </w:tc>
        <w:tc>
          <w:tcPr>
            <w:tcW w:w="3725" w:type="dxa"/>
            <w:gridSpan w:val="4"/>
            <w:vAlign w:val="center"/>
          </w:tcPr>
          <w:p w14:paraId="583873F1">
            <w:pPr>
              <w:pStyle w:val="77"/>
              <w:rPr>
                <w:rFonts w:hint="eastAsia" w:eastAsiaTheme="minorEastAsia"/>
                <w:color w:val="FF0000"/>
                <w:lang w:val="en-US" w:eastAsia="zh-CN"/>
              </w:rPr>
            </w:pPr>
            <w:r>
              <w:rPr>
                <w:color w:val="FF0000"/>
              </w:rPr>
              <w:t xml:space="preserve">BS Category </w:t>
            </w:r>
            <w:r>
              <w:rPr>
                <w:rFonts w:hint="eastAsia"/>
                <w:color w:val="FF0000"/>
                <w:lang w:val="en-US" w:eastAsia="zh-CN"/>
              </w:rPr>
              <w:t>3</w:t>
            </w:r>
          </w:p>
        </w:tc>
      </w:tr>
      <w:tr w14:paraId="3726F5F4">
        <w:trPr>
          <w:trHeight w:val="20" w:hRule="atLeast"/>
          <w:jc w:val="center"/>
        </w:trPr>
        <w:tc>
          <w:tcPr>
            <w:tcW w:w="0" w:type="auto"/>
            <w:vMerge w:val="continue"/>
            <w:vAlign w:val="center"/>
          </w:tcPr>
          <w:p w14:paraId="05C699FD">
            <w:pPr>
              <w:pStyle w:val="77"/>
            </w:pPr>
          </w:p>
        </w:tc>
        <w:tc>
          <w:tcPr>
            <w:tcW w:w="864" w:type="dxa"/>
            <w:vAlign w:val="center"/>
          </w:tcPr>
          <w:p w14:paraId="55DE4499">
            <w:pPr>
              <w:pStyle w:val="77"/>
            </w:pPr>
            <w:r>
              <w:rPr>
                <w:rFonts w:hint="eastAsia"/>
              </w:rPr>
              <w:t>S</w:t>
            </w:r>
            <w:r>
              <w:t>et 1</w:t>
            </w:r>
          </w:p>
        </w:tc>
        <w:tc>
          <w:tcPr>
            <w:tcW w:w="848" w:type="dxa"/>
            <w:vAlign w:val="center"/>
          </w:tcPr>
          <w:p w14:paraId="2BB9E6E9">
            <w:pPr>
              <w:pStyle w:val="77"/>
            </w:pPr>
            <w:r>
              <w:t>Set 2</w:t>
            </w:r>
          </w:p>
        </w:tc>
        <w:tc>
          <w:tcPr>
            <w:tcW w:w="818" w:type="dxa"/>
            <w:vAlign w:val="center"/>
          </w:tcPr>
          <w:p w14:paraId="3949B908">
            <w:pPr>
              <w:pStyle w:val="77"/>
            </w:pPr>
            <w:r>
              <w:t>Set 3</w:t>
            </w:r>
          </w:p>
        </w:tc>
        <w:tc>
          <w:tcPr>
            <w:tcW w:w="1070" w:type="dxa"/>
            <w:vAlign w:val="center"/>
          </w:tcPr>
          <w:p w14:paraId="38FF5D2F">
            <w:pPr>
              <w:pStyle w:val="77"/>
              <w:rPr>
                <w:rFonts w:hint="default"/>
                <w:lang w:val="en-US"/>
              </w:rPr>
            </w:pPr>
            <w:r>
              <w:rPr>
                <w:rFonts w:hint="default"/>
                <w:color w:val="FF0000"/>
                <w:lang w:val="en-US"/>
              </w:rPr>
              <w:t>Set 4</w:t>
            </w:r>
          </w:p>
        </w:tc>
        <w:tc>
          <w:tcPr>
            <w:tcW w:w="914" w:type="dxa"/>
            <w:shd w:val="clear" w:color="auto" w:fill="auto"/>
            <w:vAlign w:val="center"/>
          </w:tcPr>
          <w:p w14:paraId="038FA27B">
            <w:pPr>
              <w:pStyle w:val="77"/>
              <w:rPr>
                <w:rFonts w:ascii="Arial" w:hAnsi="Arial" w:cs="Times New Roman" w:eastAsiaTheme="minorEastAsia"/>
                <w:b/>
                <w:color w:val="FF0000"/>
                <w:sz w:val="18"/>
                <w:szCs w:val="20"/>
                <w:lang w:val="en-GB" w:eastAsia="en-US" w:bidi="ar-SA"/>
              </w:rPr>
            </w:pPr>
            <w:r>
              <w:rPr>
                <w:rFonts w:hint="eastAsia"/>
                <w:color w:val="FF0000"/>
              </w:rPr>
              <w:t>S</w:t>
            </w:r>
            <w:r>
              <w:rPr>
                <w:color w:val="FF0000"/>
              </w:rPr>
              <w:t>et 1</w:t>
            </w:r>
          </w:p>
        </w:tc>
        <w:tc>
          <w:tcPr>
            <w:tcW w:w="1001" w:type="dxa"/>
            <w:shd w:val="clear" w:color="auto" w:fill="auto"/>
            <w:vAlign w:val="center"/>
          </w:tcPr>
          <w:p w14:paraId="10072F74">
            <w:pPr>
              <w:pStyle w:val="77"/>
              <w:rPr>
                <w:rFonts w:ascii="Arial" w:hAnsi="Arial" w:cs="Times New Roman" w:eastAsiaTheme="minorEastAsia"/>
                <w:b/>
                <w:color w:val="FF0000"/>
                <w:sz w:val="18"/>
                <w:szCs w:val="20"/>
                <w:lang w:val="en-GB" w:eastAsia="en-US" w:bidi="ar-SA"/>
              </w:rPr>
            </w:pPr>
            <w:r>
              <w:rPr>
                <w:color w:val="FF0000"/>
              </w:rPr>
              <w:t>Set 2</w:t>
            </w:r>
          </w:p>
        </w:tc>
        <w:tc>
          <w:tcPr>
            <w:tcW w:w="924" w:type="dxa"/>
            <w:shd w:val="clear" w:color="auto" w:fill="auto"/>
            <w:vAlign w:val="center"/>
          </w:tcPr>
          <w:p w14:paraId="128437D5">
            <w:pPr>
              <w:pStyle w:val="77"/>
              <w:rPr>
                <w:rFonts w:ascii="Arial" w:hAnsi="Arial" w:cs="Times New Roman" w:eastAsiaTheme="minorEastAsia"/>
                <w:b/>
                <w:color w:val="FF0000"/>
                <w:sz w:val="18"/>
                <w:szCs w:val="20"/>
                <w:lang w:val="en-GB" w:eastAsia="en-US" w:bidi="ar-SA"/>
              </w:rPr>
            </w:pPr>
            <w:r>
              <w:rPr>
                <w:color w:val="FF0000"/>
              </w:rPr>
              <w:t>Set 3</w:t>
            </w:r>
          </w:p>
        </w:tc>
        <w:tc>
          <w:tcPr>
            <w:tcW w:w="886" w:type="dxa"/>
            <w:shd w:val="clear" w:color="auto" w:fill="auto"/>
            <w:vAlign w:val="center"/>
          </w:tcPr>
          <w:p w14:paraId="682B8CD0">
            <w:pPr>
              <w:pStyle w:val="77"/>
              <w:rPr>
                <w:rFonts w:hint="default" w:ascii="Arial" w:hAnsi="Arial" w:cs="Times New Roman" w:eastAsiaTheme="minorEastAsia"/>
                <w:b/>
                <w:color w:val="FF0000"/>
                <w:sz w:val="18"/>
                <w:szCs w:val="20"/>
                <w:lang w:val="en-US" w:eastAsia="en-US" w:bidi="ar-SA"/>
              </w:rPr>
            </w:pPr>
            <w:r>
              <w:rPr>
                <w:rFonts w:hint="default"/>
                <w:color w:val="FF0000"/>
                <w:lang w:val="en-US"/>
              </w:rPr>
              <w:t>Set 4</w:t>
            </w:r>
          </w:p>
        </w:tc>
      </w:tr>
      <w:tr w14:paraId="084D21DB">
        <w:trPr>
          <w:trHeight w:val="90" w:hRule="atLeast"/>
          <w:jc w:val="center"/>
        </w:trPr>
        <w:tc>
          <w:tcPr>
            <w:tcW w:w="0" w:type="auto"/>
            <w:vAlign w:val="center"/>
          </w:tcPr>
          <w:p w14:paraId="4B354529">
            <w:pPr>
              <w:pStyle w:val="78"/>
              <w:rPr>
                <w:rFonts w:hint="default" w:eastAsiaTheme="minorEastAsia"/>
                <w:lang w:val="en-US" w:eastAsia="zh-CN"/>
              </w:rPr>
            </w:pPr>
            <w:r>
              <w:rPr>
                <w:rFonts w:hint="eastAsia"/>
                <w:color w:val="FF0000"/>
                <w:lang w:val="en-US" w:eastAsia="zh-CN"/>
              </w:rPr>
              <w:t>Ultra</w:t>
            </w:r>
            <w:r>
              <w:rPr>
                <w:rFonts w:hint="default"/>
                <w:color w:val="FF0000"/>
                <w:lang w:val="en-US" w:eastAsia="zh-CN"/>
              </w:rPr>
              <w:t xml:space="preserve"> deep sleep</w:t>
            </w:r>
          </w:p>
        </w:tc>
        <w:tc>
          <w:tcPr>
            <w:tcW w:w="3600" w:type="dxa"/>
            <w:gridSpan w:val="4"/>
            <w:vAlign w:val="center"/>
          </w:tcPr>
          <w:p w14:paraId="6D08A40C">
            <w:pPr>
              <w:pStyle w:val="78"/>
              <w:rPr>
                <w:rFonts w:hint="default" w:eastAsiaTheme="minorEastAsia"/>
                <w:lang w:val="en-US" w:eastAsia="zh-CN"/>
              </w:rPr>
            </w:pPr>
            <w:r>
              <w:rPr>
                <w:rFonts w:hint="eastAsia"/>
                <w:color w:val="FF0000"/>
                <w:lang w:val="en-US" w:eastAsia="zh-CN"/>
              </w:rPr>
              <w:t>--</w:t>
            </w:r>
          </w:p>
        </w:tc>
        <w:tc>
          <w:tcPr>
            <w:tcW w:w="3725" w:type="dxa"/>
            <w:gridSpan w:val="4"/>
            <w:vAlign w:val="center"/>
          </w:tcPr>
          <w:p w14:paraId="64717BA0">
            <w:pPr>
              <w:pStyle w:val="78"/>
              <w:rPr>
                <w:rFonts w:hint="default" w:eastAsiaTheme="minorEastAsia"/>
                <w:color w:val="FF0000"/>
                <w:lang w:val="en-US" w:eastAsia="zh-CN"/>
              </w:rPr>
            </w:pPr>
            <w:r>
              <w:rPr>
                <w:rFonts w:hint="default"/>
                <w:color w:val="FF0000"/>
                <w:lang w:val="en-US" w:eastAsia="zh-CN"/>
              </w:rPr>
              <w:t>[</w:t>
            </w:r>
            <w:r>
              <w:rPr>
                <w:rFonts w:hint="eastAsia"/>
                <w:color w:val="FF0000"/>
                <w:lang w:val="en-US" w:eastAsia="zh-CN"/>
              </w:rPr>
              <w:t>0.1</w:t>
            </w:r>
            <w:r>
              <w:rPr>
                <w:rFonts w:hint="default"/>
                <w:color w:val="FF0000"/>
                <w:lang w:val="en-US" w:eastAsia="zh-CN"/>
              </w:rPr>
              <w:t>]</w:t>
            </w:r>
          </w:p>
        </w:tc>
      </w:tr>
      <w:tr w14:paraId="443191D0">
        <w:trPr>
          <w:trHeight w:val="20" w:hRule="atLeast"/>
          <w:jc w:val="center"/>
        </w:trPr>
        <w:tc>
          <w:tcPr>
            <w:tcW w:w="0" w:type="auto"/>
            <w:vAlign w:val="center"/>
          </w:tcPr>
          <w:p w14:paraId="39721B27">
            <w:pPr>
              <w:pStyle w:val="78"/>
            </w:pPr>
            <w:r>
              <w:t>Deep sleep</w:t>
            </w:r>
          </w:p>
        </w:tc>
        <w:tc>
          <w:tcPr>
            <w:tcW w:w="3600" w:type="dxa"/>
            <w:gridSpan w:val="4"/>
            <w:vAlign w:val="center"/>
          </w:tcPr>
          <w:p w14:paraId="56114754">
            <w:pPr>
              <w:pStyle w:val="78"/>
            </w:pPr>
            <w:r>
              <w:t>1</w:t>
            </w:r>
          </w:p>
        </w:tc>
        <w:tc>
          <w:tcPr>
            <w:tcW w:w="3725" w:type="dxa"/>
            <w:gridSpan w:val="4"/>
            <w:vAlign w:val="center"/>
          </w:tcPr>
          <w:p w14:paraId="106D5233">
            <w:pPr>
              <w:pStyle w:val="78"/>
              <w:rPr>
                <w:rFonts w:hint="default" w:eastAsiaTheme="minorEastAsia"/>
                <w:color w:val="FF0000"/>
                <w:lang w:val="en-US" w:eastAsia="zh-CN"/>
              </w:rPr>
            </w:pPr>
            <w:r>
              <w:rPr>
                <w:rFonts w:hint="default"/>
                <w:color w:val="FF0000"/>
                <w:lang w:val="en-US" w:eastAsia="zh-CN"/>
              </w:rPr>
              <w:t>1</w:t>
            </w:r>
          </w:p>
        </w:tc>
      </w:tr>
      <w:tr w14:paraId="05D4D744">
        <w:trPr>
          <w:trHeight w:val="20" w:hRule="atLeast"/>
          <w:jc w:val="center"/>
        </w:trPr>
        <w:tc>
          <w:tcPr>
            <w:tcW w:w="0" w:type="auto"/>
            <w:vAlign w:val="center"/>
          </w:tcPr>
          <w:p w14:paraId="5C1000EF">
            <w:pPr>
              <w:pStyle w:val="78"/>
            </w:pPr>
            <w:r>
              <w:t>Light sleep</w:t>
            </w:r>
          </w:p>
        </w:tc>
        <w:tc>
          <w:tcPr>
            <w:tcW w:w="3600" w:type="dxa"/>
            <w:gridSpan w:val="4"/>
            <w:vAlign w:val="center"/>
          </w:tcPr>
          <w:p w14:paraId="2FC3F8EA">
            <w:pPr>
              <w:pStyle w:val="78"/>
            </w:pPr>
            <w:r>
              <w:t>2.1</w:t>
            </w:r>
          </w:p>
        </w:tc>
        <w:tc>
          <w:tcPr>
            <w:tcW w:w="914" w:type="dxa"/>
            <w:vAlign w:val="center"/>
          </w:tcPr>
          <w:p w14:paraId="2D1E7242">
            <w:pPr>
              <w:pStyle w:val="78"/>
              <w:rPr>
                <w:rFonts w:hint="default"/>
                <w:color w:val="FF0000"/>
                <w:lang w:val="en-US"/>
              </w:rPr>
            </w:pPr>
            <w:r>
              <w:rPr>
                <w:rFonts w:hint="default"/>
                <w:color w:val="FF0000"/>
                <w:lang w:val="en-US"/>
              </w:rPr>
              <w:t>1.3</w:t>
            </w:r>
          </w:p>
        </w:tc>
        <w:tc>
          <w:tcPr>
            <w:tcW w:w="1001" w:type="dxa"/>
            <w:vAlign w:val="center"/>
          </w:tcPr>
          <w:p w14:paraId="21D0A0DF">
            <w:pPr>
              <w:pStyle w:val="78"/>
              <w:rPr>
                <w:rFonts w:hint="default"/>
                <w:color w:val="FF0000"/>
                <w:lang w:val="en-US"/>
              </w:rPr>
            </w:pPr>
            <w:r>
              <w:rPr>
                <w:rFonts w:hint="default"/>
                <w:color w:val="FF0000"/>
                <w:lang w:val="en-US"/>
              </w:rPr>
              <w:t>1.2</w:t>
            </w:r>
          </w:p>
        </w:tc>
        <w:tc>
          <w:tcPr>
            <w:tcW w:w="924" w:type="dxa"/>
            <w:vAlign w:val="center"/>
          </w:tcPr>
          <w:p w14:paraId="03D8C114">
            <w:pPr>
              <w:pStyle w:val="78"/>
              <w:rPr>
                <w:rFonts w:hint="default"/>
                <w:color w:val="FF0000"/>
                <w:lang w:val="en-US"/>
              </w:rPr>
            </w:pPr>
            <w:r>
              <w:rPr>
                <w:rFonts w:hint="default"/>
                <w:color w:val="FF0000"/>
                <w:lang w:val="en-US"/>
              </w:rPr>
              <w:t>1.2</w:t>
            </w:r>
          </w:p>
        </w:tc>
        <w:tc>
          <w:tcPr>
            <w:tcW w:w="886" w:type="dxa"/>
            <w:vAlign w:val="center"/>
          </w:tcPr>
          <w:p w14:paraId="67CDC584">
            <w:pPr>
              <w:pStyle w:val="78"/>
              <w:rPr>
                <w:rFonts w:hint="default"/>
                <w:color w:val="FF0000"/>
                <w:lang w:val="en-US"/>
              </w:rPr>
            </w:pPr>
            <w:r>
              <w:rPr>
                <w:rFonts w:hint="default"/>
                <w:color w:val="FF0000"/>
                <w:lang w:val="en-US"/>
              </w:rPr>
              <w:t>1.2</w:t>
            </w:r>
          </w:p>
        </w:tc>
      </w:tr>
      <w:tr w14:paraId="46EB1EB7">
        <w:trPr>
          <w:trHeight w:val="20" w:hRule="atLeast"/>
          <w:jc w:val="center"/>
        </w:trPr>
        <w:tc>
          <w:tcPr>
            <w:tcW w:w="0" w:type="auto"/>
            <w:vAlign w:val="center"/>
          </w:tcPr>
          <w:p w14:paraId="12CBF032">
            <w:pPr>
              <w:pStyle w:val="78"/>
            </w:pPr>
            <w:r>
              <w:t>Micro sleep</w:t>
            </w:r>
          </w:p>
        </w:tc>
        <w:tc>
          <w:tcPr>
            <w:tcW w:w="864" w:type="dxa"/>
            <w:vAlign w:val="center"/>
          </w:tcPr>
          <w:p w14:paraId="6F2CD4D2">
            <w:pPr>
              <w:pStyle w:val="78"/>
            </w:pPr>
            <w:r>
              <w:t>5.5</w:t>
            </w:r>
          </w:p>
        </w:tc>
        <w:tc>
          <w:tcPr>
            <w:tcW w:w="848" w:type="dxa"/>
            <w:vAlign w:val="center"/>
          </w:tcPr>
          <w:p w14:paraId="0DD7E82C">
            <w:pPr>
              <w:pStyle w:val="78"/>
            </w:pPr>
            <w:r>
              <w:t>5</w:t>
            </w:r>
          </w:p>
        </w:tc>
        <w:tc>
          <w:tcPr>
            <w:tcW w:w="818" w:type="dxa"/>
            <w:vAlign w:val="center"/>
          </w:tcPr>
          <w:p w14:paraId="5A179F60">
            <w:pPr>
              <w:pStyle w:val="78"/>
            </w:pPr>
            <w:r>
              <w:rPr>
                <w:rFonts w:hint="eastAsia"/>
              </w:rPr>
              <w:t>3</w:t>
            </w:r>
          </w:p>
        </w:tc>
        <w:tc>
          <w:tcPr>
            <w:tcW w:w="1070" w:type="dxa"/>
            <w:vAlign w:val="center"/>
          </w:tcPr>
          <w:p w14:paraId="339DC2F9">
            <w:pPr>
              <w:pStyle w:val="78"/>
              <w:rPr>
                <w:rFonts w:hint="default"/>
                <w:color w:val="FF0000"/>
                <w:lang w:val="en-US"/>
              </w:rPr>
            </w:pPr>
            <w:r>
              <w:rPr>
                <w:rFonts w:hint="default"/>
                <w:color w:val="FF0000"/>
                <w:lang w:val="en-US"/>
              </w:rPr>
              <w:t>TBD</w:t>
            </w:r>
          </w:p>
        </w:tc>
        <w:tc>
          <w:tcPr>
            <w:tcW w:w="914" w:type="dxa"/>
            <w:vAlign w:val="center"/>
          </w:tcPr>
          <w:p w14:paraId="71406B5C">
            <w:pPr>
              <w:pStyle w:val="78"/>
              <w:rPr>
                <w:rFonts w:hint="default"/>
                <w:color w:val="FF0000"/>
                <w:lang w:val="en-US"/>
              </w:rPr>
            </w:pPr>
            <w:r>
              <w:rPr>
                <w:rFonts w:hint="default"/>
                <w:color w:val="FF0000"/>
                <w:lang w:val="en-US"/>
              </w:rPr>
              <w:t>6.0</w:t>
            </w:r>
          </w:p>
        </w:tc>
        <w:tc>
          <w:tcPr>
            <w:tcW w:w="1001" w:type="dxa"/>
            <w:vAlign w:val="center"/>
          </w:tcPr>
          <w:p w14:paraId="0BA851B2">
            <w:pPr>
              <w:pStyle w:val="78"/>
              <w:rPr>
                <w:rFonts w:hint="default"/>
                <w:color w:val="FF0000"/>
                <w:lang w:val="en-US"/>
              </w:rPr>
            </w:pPr>
            <w:r>
              <w:rPr>
                <w:rFonts w:hint="default"/>
                <w:color w:val="FF0000"/>
                <w:lang w:val="en-US"/>
              </w:rPr>
              <w:t>5.5</w:t>
            </w:r>
          </w:p>
        </w:tc>
        <w:tc>
          <w:tcPr>
            <w:tcW w:w="924" w:type="dxa"/>
            <w:vAlign w:val="center"/>
          </w:tcPr>
          <w:p w14:paraId="63F7E116">
            <w:pPr>
              <w:pStyle w:val="78"/>
              <w:rPr>
                <w:rFonts w:hint="default"/>
                <w:color w:val="FF0000"/>
                <w:lang w:val="en-US"/>
              </w:rPr>
            </w:pPr>
            <w:r>
              <w:rPr>
                <w:rFonts w:hint="default"/>
                <w:color w:val="FF0000"/>
                <w:lang w:val="en-US"/>
              </w:rPr>
              <w:t>4.0</w:t>
            </w:r>
          </w:p>
        </w:tc>
        <w:tc>
          <w:tcPr>
            <w:tcW w:w="886" w:type="dxa"/>
            <w:vAlign w:val="center"/>
          </w:tcPr>
          <w:p w14:paraId="66B7EF42">
            <w:pPr>
              <w:pStyle w:val="78"/>
              <w:rPr>
                <w:rFonts w:hint="default"/>
                <w:color w:val="FF0000"/>
                <w:lang w:val="en-US"/>
              </w:rPr>
            </w:pPr>
            <w:r>
              <w:rPr>
                <w:rFonts w:hint="default"/>
                <w:color w:val="FF0000"/>
                <w:lang w:val="en-US"/>
              </w:rPr>
              <w:t>8.0</w:t>
            </w:r>
          </w:p>
        </w:tc>
      </w:tr>
      <w:tr w14:paraId="040C2E2B">
        <w:trPr>
          <w:trHeight w:val="20" w:hRule="atLeast"/>
          <w:jc w:val="center"/>
        </w:trPr>
        <w:tc>
          <w:tcPr>
            <w:tcW w:w="0" w:type="auto"/>
            <w:vAlign w:val="center"/>
          </w:tcPr>
          <w:p w14:paraId="3BC9A23D">
            <w:pPr>
              <w:pStyle w:val="78"/>
            </w:pPr>
            <w:r>
              <w:t>Active DL</w:t>
            </w:r>
          </w:p>
        </w:tc>
        <w:tc>
          <w:tcPr>
            <w:tcW w:w="864" w:type="dxa"/>
            <w:vAlign w:val="center"/>
          </w:tcPr>
          <w:p w14:paraId="1874130D">
            <w:pPr>
              <w:pStyle w:val="78"/>
            </w:pPr>
            <w:r>
              <w:t>32</w:t>
            </w:r>
          </w:p>
        </w:tc>
        <w:tc>
          <w:tcPr>
            <w:tcW w:w="848" w:type="dxa"/>
            <w:vAlign w:val="center"/>
          </w:tcPr>
          <w:p w14:paraId="67417C0D">
            <w:pPr>
              <w:pStyle w:val="78"/>
            </w:pPr>
            <w:r>
              <w:t>26</w:t>
            </w:r>
          </w:p>
        </w:tc>
        <w:tc>
          <w:tcPr>
            <w:tcW w:w="818" w:type="dxa"/>
            <w:vAlign w:val="center"/>
          </w:tcPr>
          <w:p w14:paraId="52C99BA7">
            <w:pPr>
              <w:pStyle w:val="78"/>
              <w:rPr>
                <w:strike/>
              </w:rPr>
            </w:pPr>
            <w:r>
              <w:t>17.6</w:t>
            </w:r>
          </w:p>
        </w:tc>
        <w:tc>
          <w:tcPr>
            <w:tcW w:w="1070" w:type="dxa"/>
            <w:vAlign w:val="center"/>
          </w:tcPr>
          <w:p w14:paraId="67C61E1A">
            <w:pPr>
              <w:pStyle w:val="78"/>
              <w:rPr>
                <w:rFonts w:hint="default"/>
                <w:color w:val="FF0000"/>
                <w:lang w:val="en-US"/>
              </w:rPr>
            </w:pPr>
            <w:r>
              <w:rPr>
                <w:rFonts w:hint="default"/>
                <w:color w:val="FF0000"/>
                <w:lang w:val="en-US"/>
              </w:rPr>
              <w:t>TBD</w:t>
            </w:r>
          </w:p>
        </w:tc>
        <w:tc>
          <w:tcPr>
            <w:tcW w:w="914" w:type="dxa"/>
            <w:vAlign w:val="center"/>
          </w:tcPr>
          <w:p w14:paraId="6B3A4310">
            <w:pPr>
              <w:pStyle w:val="78"/>
              <w:rPr>
                <w:rFonts w:hint="default"/>
                <w:color w:val="FF0000"/>
                <w:lang w:val="en-US"/>
              </w:rPr>
            </w:pPr>
            <w:r>
              <w:rPr>
                <w:rFonts w:hint="default"/>
                <w:color w:val="FF0000"/>
                <w:lang w:val="en-US"/>
              </w:rPr>
              <w:t>35</w:t>
            </w:r>
          </w:p>
        </w:tc>
        <w:tc>
          <w:tcPr>
            <w:tcW w:w="1001" w:type="dxa"/>
            <w:vAlign w:val="center"/>
          </w:tcPr>
          <w:p w14:paraId="6DD8D0A7">
            <w:pPr>
              <w:pStyle w:val="78"/>
              <w:rPr>
                <w:rFonts w:hint="default"/>
                <w:color w:val="FF0000"/>
                <w:lang w:val="en-US"/>
              </w:rPr>
            </w:pPr>
            <w:r>
              <w:rPr>
                <w:rFonts w:hint="default"/>
                <w:color w:val="FF0000"/>
                <w:lang w:val="en-US"/>
              </w:rPr>
              <w:t>30</w:t>
            </w:r>
          </w:p>
        </w:tc>
        <w:tc>
          <w:tcPr>
            <w:tcW w:w="924" w:type="dxa"/>
            <w:vAlign w:val="center"/>
          </w:tcPr>
          <w:p w14:paraId="68662D06">
            <w:pPr>
              <w:pStyle w:val="78"/>
              <w:rPr>
                <w:rFonts w:hint="default"/>
                <w:color w:val="FF0000"/>
                <w:lang w:val="en-US"/>
              </w:rPr>
            </w:pPr>
            <w:r>
              <w:rPr>
                <w:rFonts w:hint="default"/>
                <w:color w:val="FF0000"/>
                <w:lang w:val="en-US"/>
              </w:rPr>
              <w:t>20</w:t>
            </w:r>
          </w:p>
        </w:tc>
        <w:tc>
          <w:tcPr>
            <w:tcW w:w="886" w:type="dxa"/>
            <w:vAlign w:val="center"/>
          </w:tcPr>
          <w:p w14:paraId="3D1B7536">
            <w:pPr>
              <w:pStyle w:val="78"/>
              <w:rPr>
                <w:rFonts w:hint="default"/>
                <w:color w:val="FF0000"/>
                <w:lang w:val="en-US"/>
              </w:rPr>
            </w:pPr>
            <w:r>
              <w:rPr>
                <w:rFonts w:hint="default"/>
                <w:color w:val="FF0000"/>
                <w:lang w:val="en-US"/>
              </w:rPr>
              <w:t>50</w:t>
            </w:r>
          </w:p>
        </w:tc>
      </w:tr>
      <w:tr w14:paraId="198347F0">
        <w:trPr>
          <w:trHeight w:val="20" w:hRule="atLeast"/>
          <w:jc w:val="center"/>
        </w:trPr>
        <w:tc>
          <w:tcPr>
            <w:tcW w:w="0" w:type="auto"/>
            <w:vAlign w:val="center"/>
          </w:tcPr>
          <w:p w14:paraId="7338EA77">
            <w:pPr>
              <w:pStyle w:val="78"/>
            </w:pPr>
            <w:r>
              <w:t>Active UL</w:t>
            </w:r>
          </w:p>
        </w:tc>
        <w:tc>
          <w:tcPr>
            <w:tcW w:w="864" w:type="dxa"/>
            <w:vAlign w:val="center"/>
          </w:tcPr>
          <w:p w14:paraId="7454FB7B">
            <w:pPr>
              <w:pStyle w:val="78"/>
            </w:pPr>
            <w:r>
              <w:t>6.5</w:t>
            </w:r>
          </w:p>
        </w:tc>
        <w:tc>
          <w:tcPr>
            <w:tcW w:w="848" w:type="dxa"/>
            <w:vAlign w:val="center"/>
          </w:tcPr>
          <w:p w14:paraId="65BDEDEA">
            <w:pPr>
              <w:pStyle w:val="78"/>
            </w:pPr>
            <w:r>
              <w:t>5.8</w:t>
            </w:r>
          </w:p>
        </w:tc>
        <w:tc>
          <w:tcPr>
            <w:tcW w:w="818" w:type="dxa"/>
            <w:vAlign w:val="center"/>
          </w:tcPr>
          <w:p w14:paraId="170EFE4E">
            <w:pPr>
              <w:pStyle w:val="78"/>
            </w:pPr>
            <w:r>
              <w:rPr>
                <w:rFonts w:hint="eastAsia"/>
              </w:rPr>
              <w:t>4</w:t>
            </w:r>
            <w:r>
              <w:t>.2</w:t>
            </w:r>
          </w:p>
        </w:tc>
        <w:tc>
          <w:tcPr>
            <w:tcW w:w="1070" w:type="dxa"/>
            <w:vAlign w:val="center"/>
          </w:tcPr>
          <w:p w14:paraId="0BA78292">
            <w:pPr>
              <w:pStyle w:val="78"/>
              <w:rPr>
                <w:rFonts w:hint="default"/>
                <w:color w:val="FF0000"/>
                <w:lang w:val="en-US"/>
              </w:rPr>
            </w:pPr>
            <w:r>
              <w:rPr>
                <w:rFonts w:hint="default"/>
                <w:color w:val="FF0000"/>
                <w:lang w:val="en-US"/>
              </w:rPr>
              <w:t>TBD</w:t>
            </w:r>
          </w:p>
        </w:tc>
        <w:tc>
          <w:tcPr>
            <w:tcW w:w="914" w:type="dxa"/>
            <w:shd w:val="clear" w:color="auto" w:fill="auto"/>
            <w:vAlign w:val="center"/>
          </w:tcPr>
          <w:p w14:paraId="49811752">
            <w:pPr>
              <w:pStyle w:val="78"/>
              <w:rPr>
                <w:rFonts w:hint="eastAsia" w:ascii="Arial" w:hAnsi="Arial" w:cs="Times New Roman" w:eastAsiaTheme="minorEastAsia"/>
                <w:color w:val="FF0000"/>
                <w:sz w:val="18"/>
                <w:szCs w:val="20"/>
                <w:lang w:val="en-US" w:eastAsia="en-US" w:bidi="ar-SA"/>
              </w:rPr>
            </w:pPr>
            <w:r>
              <w:rPr>
                <w:rFonts w:hint="default"/>
                <w:color w:val="FF0000"/>
                <w:lang w:val="en-US"/>
              </w:rPr>
              <w:t>7.0</w:t>
            </w:r>
          </w:p>
        </w:tc>
        <w:tc>
          <w:tcPr>
            <w:tcW w:w="1001" w:type="dxa"/>
            <w:shd w:val="clear" w:color="auto" w:fill="auto"/>
            <w:vAlign w:val="center"/>
          </w:tcPr>
          <w:p w14:paraId="7D5E2C84">
            <w:pPr>
              <w:pStyle w:val="78"/>
              <w:rPr>
                <w:rFonts w:hint="eastAsia" w:ascii="Arial" w:hAnsi="Arial" w:cs="Times New Roman" w:eastAsiaTheme="minorEastAsia"/>
                <w:color w:val="FF0000"/>
                <w:sz w:val="18"/>
                <w:szCs w:val="20"/>
                <w:lang w:val="en-US" w:eastAsia="en-US" w:bidi="ar-SA"/>
              </w:rPr>
            </w:pPr>
            <w:r>
              <w:rPr>
                <w:rFonts w:hint="default"/>
                <w:color w:val="FF0000"/>
                <w:lang w:val="en-US"/>
              </w:rPr>
              <w:t>6.3</w:t>
            </w:r>
          </w:p>
        </w:tc>
        <w:tc>
          <w:tcPr>
            <w:tcW w:w="924" w:type="dxa"/>
            <w:shd w:val="clear" w:color="auto" w:fill="auto"/>
            <w:vAlign w:val="center"/>
          </w:tcPr>
          <w:p w14:paraId="02196F99">
            <w:pPr>
              <w:pStyle w:val="78"/>
              <w:rPr>
                <w:rFonts w:hint="eastAsia" w:ascii="Arial" w:hAnsi="Arial" w:cs="Times New Roman" w:eastAsiaTheme="minorEastAsia"/>
                <w:color w:val="FF0000"/>
                <w:sz w:val="18"/>
                <w:szCs w:val="20"/>
                <w:lang w:val="en-US" w:eastAsia="en-US" w:bidi="ar-SA"/>
              </w:rPr>
            </w:pPr>
            <w:r>
              <w:rPr>
                <w:rFonts w:hint="default"/>
                <w:color w:val="FF0000"/>
                <w:lang w:val="en-US"/>
              </w:rPr>
              <w:t>4.5</w:t>
            </w:r>
          </w:p>
        </w:tc>
        <w:tc>
          <w:tcPr>
            <w:tcW w:w="886" w:type="dxa"/>
            <w:shd w:val="clear" w:color="auto" w:fill="auto"/>
            <w:vAlign w:val="center"/>
          </w:tcPr>
          <w:p w14:paraId="5CAE4A4E">
            <w:pPr>
              <w:pStyle w:val="78"/>
              <w:rPr>
                <w:rFonts w:hint="eastAsia" w:ascii="Arial" w:hAnsi="Arial" w:cs="Times New Roman" w:eastAsiaTheme="minorEastAsia"/>
                <w:color w:val="FF0000"/>
                <w:sz w:val="18"/>
                <w:szCs w:val="20"/>
                <w:lang w:val="en-US" w:eastAsia="en-US" w:bidi="ar-SA"/>
              </w:rPr>
            </w:pPr>
            <w:r>
              <w:rPr>
                <w:rFonts w:hint="default"/>
                <w:color w:val="FF0000"/>
                <w:lang w:val="en-US"/>
              </w:rPr>
              <w:t>8.0</w:t>
            </w:r>
          </w:p>
        </w:tc>
      </w:tr>
      <w:tr w14:paraId="29345D73">
        <w:trPr>
          <w:trHeight w:val="20" w:hRule="atLeast"/>
          <w:jc w:val="center"/>
        </w:trPr>
        <w:tc>
          <w:tcPr>
            <w:tcW w:w="0" w:type="auto"/>
            <w:vAlign w:val="center"/>
          </w:tcPr>
          <w:p w14:paraId="3CACFAE4">
            <w:pPr>
              <w:pStyle w:val="78"/>
            </w:pPr>
            <w:r>
              <w:rPr>
                <w:rFonts w:hint="eastAsia"/>
                <w:color w:val="FF0000"/>
                <w:lang w:val="en-US" w:eastAsia="zh-CN"/>
              </w:rPr>
              <w:t>Active LPR</w:t>
            </w:r>
          </w:p>
        </w:tc>
        <w:tc>
          <w:tcPr>
            <w:tcW w:w="3600" w:type="dxa"/>
            <w:gridSpan w:val="4"/>
            <w:vAlign w:val="center"/>
          </w:tcPr>
          <w:p w14:paraId="6D7FD73E">
            <w:pPr>
              <w:pStyle w:val="78"/>
              <w:rPr>
                <w:rFonts w:hint="default"/>
                <w:color w:val="FF0000"/>
                <w:lang w:val="en-US"/>
              </w:rPr>
            </w:pPr>
            <w:r>
              <w:rPr>
                <w:rFonts w:hint="default"/>
                <w:color w:val="FF0000"/>
                <w:lang w:val="en-US"/>
              </w:rPr>
              <w:t>--</w:t>
            </w:r>
          </w:p>
        </w:tc>
        <w:tc>
          <w:tcPr>
            <w:tcW w:w="914" w:type="dxa"/>
            <w:vAlign w:val="center"/>
          </w:tcPr>
          <w:p w14:paraId="20888F6B">
            <w:pPr>
              <w:pStyle w:val="78"/>
              <w:rPr>
                <w:rFonts w:hint="default"/>
                <w:color w:val="FF0000"/>
                <w:lang w:val="en-US"/>
              </w:rPr>
            </w:pPr>
            <w:r>
              <w:rPr>
                <w:rFonts w:hint="default"/>
                <w:color w:val="FF0000"/>
                <w:lang w:val="en-US"/>
              </w:rPr>
              <w:t>--</w:t>
            </w:r>
          </w:p>
        </w:tc>
        <w:tc>
          <w:tcPr>
            <w:tcW w:w="1001" w:type="dxa"/>
            <w:vAlign w:val="center"/>
          </w:tcPr>
          <w:p w14:paraId="0D69B36A">
            <w:pPr>
              <w:pStyle w:val="78"/>
              <w:rPr>
                <w:rFonts w:hint="default"/>
                <w:color w:val="FF0000"/>
                <w:lang w:val="en-US"/>
              </w:rPr>
            </w:pPr>
            <w:r>
              <w:rPr>
                <w:rFonts w:hint="default"/>
                <w:color w:val="FF0000"/>
                <w:lang w:val="en-US"/>
              </w:rPr>
              <w:t>--</w:t>
            </w:r>
          </w:p>
        </w:tc>
        <w:tc>
          <w:tcPr>
            <w:tcW w:w="924" w:type="dxa"/>
            <w:vAlign w:val="center"/>
          </w:tcPr>
          <w:p w14:paraId="103E5845">
            <w:pPr>
              <w:pStyle w:val="78"/>
              <w:rPr>
                <w:rFonts w:hint="default"/>
                <w:color w:val="FF0000"/>
                <w:lang w:val="en-US"/>
              </w:rPr>
            </w:pPr>
            <w:r>
              <w:rPr>
                <w:rFonts w:hint="default"/>
                <w:color w:val="FF0000"/>
                <w:lang w:val="en-US"/>
              </w:rPr>
              <w:t>--</w:t>
            </w:r>
          </w:p>
        </w:tc>
        <w:tc>
          <w:tcPr>
            <w:tcW w:w="886" w:type="dxa"/>
            <w:vAlign w:val="center"/>
          </w:tcPr>
          <w:p w14:paraId="19E795CE">
            <w:pPr>
              <w:pStyle w:val="78"/>
              <w:rPr>
                <w:rFonts w:hint="default"/>
                <w:color w:val="FF0000"/>
                <w:lang w:val="en-US"/>
              </w:rPr>
            </w:pPr>
            <w:r>
              <w:rPr>
                <w:rFonts w:hint="default"/>
                <w:color w:val="FF0000"/>
                <w:lang w:val="en-US"/>
              </w:rPr>
              <w:t>[1.1]</w:t>
            </w:r>
          </w:p>
        </w:tc>
      </w:tr>
      <w:tr w14:paraId="67F554F4">
        <w:trPr>
          <w:trHeight w:val="20" w:hRule="atLeast"/>
          <w:jc w:val="center"/>
        </w:trPr>
        <w:tc>
          <w:tcPr>
            <w:tcW w:w="8999" w:type="dxa"/>
            <w:gridSpan w:val="9"/>
            <w:vAlign w:val="center"/>
          </w:tcPr>
          <w:p w14:paraId="5C672C99">
            <w:pPr>
              <w:pStyle w:val="78"/>
              <w:jc w:val="left"/>
              <w:rPr>
                <w:rFonts w:hint="default"/>
                <w:color w:val="FF0000"/>
                <w:lang w:val="en-US"/>
              </w:rPr>
            </w:pPr>
            <w:r>
              <w:rPr>
                <w:rFonts w:hint="default"/>
                <w:color w:val="FF0000"/>
                <w:lang w:val="en-US"/>
              </w:rPr>
              <w:t xml:space="preserve">Note: </w:t>
            </w:r>
            <w:r>
              <w:rPr>
                <w:color w:val="FF0000"/>
              </w:rPr>
              <w:t>Category 2 values for Set 4 (</w:t>
            </w:r>
            <w:r>
              <w:rPr>
                <w:rFonts w:hint="default"/>
                <w:color w:val="FF0000"/>
                <w:lang w:val="en-US"/>
              </w:rPr>
              <w:t>~</w:t>
            </w:r>
            <w:r>
              <w:rPr>
                <w:color w:val="FF0000"/>
              </w:rPr>
              <w:t xml:space="preserve">7 GHz) were not explicitly defined in Release 18 and are left “to be defined” above. They would likely exceed the Set 1 values (since a larger FR3 array can draw more power when fully active, as discussed). </w:t>
            </w:r>
          </w:p>
        </w:tc>
      </w:tr>
    </w:tbl>
    <w:p w14:paraId="3F86D5A8">
      <w:pPr>
        <w:pStyle w:val="5"/>
        <w:rPr>
          <w:rFonts w:hint="default" w:ascii="Times New Roman" w:hAnsi="Times New Roman" w:cs="Times New Roman"/>
          <w:b w:val="0"/>
          <w:bCs w:val="0"/>
          <w:i w:val="0"/>
          <w:iCs w:val="0"/>
        </w:rPr>
      </w:pPr>
    </w:p>
    <w:p w14:paraId="3A1B65BD">
      <w:pPr>
        <w:pStyle w:val="5"/>
        <w:rPr>
          <w:rFonts w:hint="default" w:ascii="Times New Roman" w:hAnsi="Times New Roman" w:cs="Times New Roman"/>
          <w:b w:val="0"/>
          <w:bCs w:val="0"/>
          <w:i w:val="0"/>
          <w:iCs w:val="0"/>
          <w:lang w:val="en-US"/>
        </w:rPr>
      </w:pPr>
      <w:r>
        <w:rPr>
          <w:rFonts w:hint="default" w:ascii="Times New Roman" w:hAnsi="Times New Roman" w:cs="Times New Roman"/>
          <w:b w:val="0"/>
          <w:bCs w:val="0"/>
          <w:i w:val="0"/>
          <w:iCs w:val="0"/>
        </w:rPr>
        <w:t xml:space="preserve">Early studies indicate that the Category 3 approach – essentially trading off wake-up latency for deeper power cuts – can yield dramatic energy savings. For instance, </w:t>
      </w:r>
      <w:r>
        <w:rPr>
          <w:rFonts w:hint="default" w:cs="Times New Roman"/>
          <w:b w:val="0"/>
          <w:bCs w:val="0"/>
          <w:i w:val="0"/>
          <w:iCs w:val="0"/>
          <w:lang w:val="en-US"/>
        </w:rPr>
        <w:t xml:space="preserve">companies’ </w:t>
      </w:r>
      <w:r>
        <w:rPr>
          <w:rFonts w:hint="default" w:ascii="Times New Roman" w:hAnsi="Times New Roman" w:cs="Times New Roman"/>
          <w:b w:val="0"/>
          <w:bCs w:val="0"/>
          <w:i w:val="0"/>
          <w:iCs w:val="0"/>
        </w:rPr>
        <w:t xml:space="preserve">proposals in </w:t>
      </w:r>
      <w:r>
        <w:rPr>
          <w:rFonts w:hint="eastAsia" w:cs="Times New Roman"/>
          <w:b w:val="0"/>
          <w:bCs w:val="0"/>
          <w:i w:val="0"/>
          <w:iCs w:val="0"/>
          <w:lang w:val="en-US" w:eastAsia="zh-CN"/>
        </w:rPr>
        <w:t>last</w:t>
      </w:r>
      <w:r>
        <w:rPr>
          <w:rFonts w:hint="default" w:cs="Times New Roman"/>
          <w:b w:val="0"/>
          <w:bCs w:val="0"/>
          <w:i w:val="0"/>
          <w:iCs w:val="0"/>
          <w:lang w:val="en-US" w:eastAsia="zh-CN"/>
        </w:rPr>
        <w:t xml:space="preserve"> meeting</w:t>
      </w:r>
      <w:r>
        <w:rPr>
          <w:rFonts w:hint="default" w:ascii="Times New Roman" w:hAnsi="Times New Roman" w:cs="Times New Roman"/>
          <w:b w:val="0"/>
          <w:bCs w:val="0"/>
          <w:i w:val="0"/>
          <w:iCs w:val="0"/>
        </w:rPr>
        <w:t xml:space="preserve"> suggest that an ultra-deep sleep mode (with wake-up time on the order of seconds) could reduce a base station’s idle power by up to ~81% compared to the conventional deep sleep. In one scenario, a BS that previously drew (for example) 100 W in deep sleep might draw only ~19 W in an ultra-deep state (with an LPR consuming ~1–2 W to maintain basic connectivity). Naturally, exiting this state might require T0 ≈ 5–10 s to ramp up the main RF chains and resynchronize – far too slow for momentary traffic bursts, but acceptable for prolonged low-traffic periods (e.g. overnight hours). By comparison, the existing Category 2 deep sleep typically requires on the order of T1 ~50 ms to wake, as it leaves more hardware (clocks, DSP, etc.) running. Category 3’s intermediate light sleep is also deeper than Category 2’s (turning off more components, hence P2 ~1.2 vs 2.0, but with a longer wake time T2 ~0.64 s vs 6 ms). In effect, Category 3 shifts the design toward “more OFF, less ON” – an approach suited for scenarios where maximizing energy saving during idle periods is worth the trade-off in responsiveness. This could be beneficial for cells with very heavy traffic fluctuations or for deployments (like rural or indoor hotspot base stations) that can tolerate seconds of ramp-up when coming out of a long dormant period.</w:t>
      </w:r>
    </w:p>
    <w:p w14:paraId="3711F9DC">
      <w:pPr>
        <w:pStyle w:val="5"/>
        <w:jc w:val="center"/>
        <w:rPr>
          <w:rFonts w:hint="default" w:ascii="Times New Roman Italic" w:hAnsi="Times New Roman Italic" w:cs="Times New Roman Italic"/>
          <w:i/>
          <w:iCs/>
          <w:lang w:val="en-US"/>
        </w:rPr>
      </w:pPr>
      <w:r>
        <w:rPr>
          <w:rFonts w:hint="default" w:ascii="Times New Roman Italic" w:hAnsi="Times New Roman Italic" w:cs="Times New Roman Italic"/>
          <w:i/>
          <w:iCs/>
          <w:lang w:val="en-US"/>
        </w:rPr>
        <w:t xml:space="preserve">Table </w:t>
      </w:r>
      <w:r>
        <w:rPr>
          <w:rFonts w:hint="eastAsia" w:ascii="Times New Roman Italic" w:hAnsi="Times New Roman Italic" w:cs="Times New Roman Italic"/>
          <w:i/>
          <w:iCs/>
          <w:lang w:val="en-US" w:eastAsia="zh-CN"/>
        </w:rPr>
        <w:t>4</w:t>
      </w:r>
      <w:r>
        <w:rPr>
          <w:rFonts w:hint="default" w:ascii="Times New Roman Italic" w:hAnsi="Times New Roman Italic" w:cs="Times New Roman Italic"/>
          <w:i/>
          <w:iCs/>
          <w:lang w:val="en-US"/>
        </w:rPr>
        <w:t xml:space="preserve">: </w:t>
      </w:r>
      <w:r>
        <w:rPr>
          <w:rFonts w:hint="eastAsia" w:ascii="Times New Roman Italic" w:hAnsi="Times New Roman Italic" w:cs="Times New Roman Italic"/>
          <w:i/>
          <w:iCs/>
          <w:lang w:val="en-US" w:eastAsia="zh-CN"/>
        </w:rPr>
        <w:t>T</w:t>
      </w:r>
      <w:r>
        <w:rPr>
          <w:rFonts w:hint="default" w:ascii="Times New Roman Italic" w:hAnsi="Times New Roman Italic" w:cs="Times New Roman Italic"/>
          <w:i/>
          <w:iCs/>
          <w:lang w:val="en-US"/>
        </w:rPr>
        <w:t>otal transition time T for reference configuration for category 2 or NEW BS category (category 3)</w:t>
      </w:r>
    </w:p>
    <w:tbl>
      <w:tblPr>
        <w:tblStyle w:val="27"/>
        <w:tblW w:w="5320" w:type="dxa"/>
        <w:jc w:val="cente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1838"/>
        <w:gridCol w:w="1741"/>
        <w:gridCol w:w="1741"/>
      </w:tblGrid>
      <w:tr w14:paraId="75088B21">
        <w:trPr>
          <w:trHeight w:val="90" w:hRule="atLeast"/>
          <w:jc w:val="center"/>
        </w:trPr>
        <w:tc>
          <w:tcPr>
            <w:tcW w:w="0" w:type="auto"/>
            <w:tcBorders>
              <w:top w:val="double" w:color="A5A5A5" w:sz="4" w:space="0"/>
              <w:left w:val="double" w:color="A5A5A5" w:sz="4" w:space="0"/>
              <w:bottom w:val="double" w:color="A5A5A5" w:sz="4" w:space="0"/>
              <w:right w:val="double" w:color="A5A5A5" w:sz="4" w:space="0"/>
            </w:tcBorders>
            <w:vAlign w:val="center"/>
          </w:tcPr>
          <w:p w14:paraId="5CEBEA1C">
            <w:pPr>
              <w:pStyle w:val="77"/>
            </w:pPr>
            <w:r>
              <w:t>Power state</w:t>
            </w:r>
          </w:p>
        </w:tc>
        <w:tc>
          <w:tcPr>
            <w:tcW w:w="0" w:type="auto"/>
            <w:tcBorders>
              <w:top w:val="double" w:color="A5A5A5" w:sz="4" w:space="0"/>
              <w:left w:val="double" w:color="A5A5A5" w:sz="4" w:space="0"/>
              <w:bottom w:val="double" w:color="A5A5A5" w:sz="4" w:space="0"/>
              <w:right w:val="double" w:color="A5A5A5" w:sz="4" w:space="0"/>
            </w:tcBorders>
            <w:vAlign w:val="center"/>
          </w:tcPr>
          <w:p w14:paraId="61812610">
            <w:pPr>
              <w:pStyle w:val="77"/>
              <w:rPr>
                <w:rFonts w:hint="eastAsia" w:eastAsiaTheme="minorEastAsia"/>
                <w:lang w:eastAsia="zh-CN"/>
              </w:rPr>
            </w:pPr>
            <w:r>
              <w:t xml:space="preserve">BS Category </w:t>
            </w:r>
            <w:r>
              <w:rPr>
                <w:rFonts w:hint="eastAsia"/>
                <w:lang w:val="en-US" w:eastAsia="zh-CN"/>
              </w:rPr>
              <w:t>2</w:t>
            </w:r>
          </w:p>
        </w:tc>
        <w:tc>
          <w:tcPr>
            <w:tcW w:w="0" w:type="auto"/>
            <w:tcBorders>
              <w:top w:val="double" w:color="A5A5A5" w:sz="4" w:space="0"/>
              <w:left w:val="double" w:color="A5A5A5" w:sz="4" w:space="0"/>
              <w:bottom w:val="double" w:color="A5A5A5" w:sz="4" w:space="0"/>
              <w:right w:val="double" w:color="A5A5A5" w:sz="4" w:space="0"/>
            </w:tcBorders>
            <w:vAlign w:val="center"/>
          </w:tcPr>
          <w:p w14:paraId="329E1140">
            <w:pPr>
              <w:pStyle w:val="77"/>
              <w:rPr>
                <w:rFonts w:hint="eastAsia" w:eastAsiaTheme="minorEastAsia"/>
                <w:lang w:eastAsia="zh-CN"/>
              </w:rPr>
            </w:pPr>
            <w:r>
              <w:rPr>
                <w:color w:val="FF0000"/>
              </w:rPr>
              <w:t xml:space="preserve">BS Category </w:t>
            </w:r>
            <w:r>
              <w:rPr>
                <w:rFonts w:hint="eastAsia"/>
                <w:color w:val="FF0000"/>
                <w:lang w:val="en-US" w:eastAsia="zh-CN"/>
              </w:rPr>
              <w:t>3</w:t>
            </w:r>
          </w:p>
        </w:tc>
      </w:tr>
      <w:tr w14:paraId="0E03EC88">
        <w:trPr>
          <w:trHeight w:val="20" w:hRule="atLeast"/>
          <w:jc w:val="center"/>
        </w:trPr>
        <w:tc>
          <w:tcPr>
            <w:tcW w:w="0" w:type="auto"/>
            <w:tcBorders>
              <w:top w:val="double" w:color="A5A5A5" w:sz="4" w:space="0"/>
              <w:left w:val="double" w:color="A5A5A5" w:sz="4" w:space="0"/>
              <w:bottom w:val="double" w:color="A5A5A5" w:sz="4" w:space="0"/>
              <w:right w:val="double" w:color="A5A5A5" w:sz="4" w:space="0"/>
            </w:tcBorders>
            <w:vAlign w:val="center"/>
          </w:tcPr>
          <w:p w14:paraId="0FB6F6FF">
            <w:pPr>
              <w:pStyle w:val="78"/>
              <w:rPr>
                <w:rFonts w:hint="default"/>
                <w:color w:val="FF0000"/>
                <w:lang w:val="en-US"/>
              </w:rPr>
            </w:pPr>
            <w:r>
              <w:rPr>
                <w:rFonts w:hint="default"/>
                <w:color w:val="FF0000"/>
                <w:lang w:val="en-US"/>
              </w:rPr>
              <w:t>Ultra deep sleep</w:t>
            </w:r>
          </w:p>
        </w:tc>
        <w:tc>
          <w:tcPr>
            <w:tcW w:w="0" w:type="auto"/>
            <w:tcBorders>
              <w:top w:val="double" w:color="A5A5A5" w:sz="4" w:space="0"/>
              <w:left w:val="double" w:color="A5A5A5" w:sz="4" w:space="0"/>
              <w:bottom w:val="double" w:color="A5A5A5" w:sz="4" w:space="0"/>
              <w:right w:val="double" w:color="A5A5A5" w:sz="4" w:space="0"/>
            </w:tcBorders>
            <w:vAlign w:val="center"/>
          </w:tcPr>
          <w:p w14:paraId="51D667E7">
            <w:pPr>
              <w:pStyle w:val="78"/>
              <w:rPr>
                <w:rFonts w:hint="default" w:eastAsiaTheme="minorEastAsia"/>
                <w:color w:val="FF0000"/>
                <w:lang w:val="en-US" w:eastAsia="zh-CN"/>
              </w:rPr>
            </w:pPr>
            <w:r>
              <w:rPr>
                <w:rFonts w:hint="eastAsia"/>
                <w:color w:val="FF0000"/>
                <w:lang w:val="en-US" w:eastAsia="zh-CN"/>
              </w:rPr>
              <w:t>--</w:t>
            </w:r>
          </w:p>
        </w:tc>
        <w:tc>
          <w:tcPr>
            <w:tcW w:w="0" w:type="auto"/>
            <w:tcBorders>
              <w:top w:val="double" w:color="A5A5A5" w:sz="4" w:space="0"/>
              <w:left w:val="double" w:color="A5A5A5" w:sz="4" w:space="0"/>
              <w:bottom w:val="double" w:color="A5A5A5" w:sz="4" w:space="0"/>
              <w:right w:val="double" w:color="A5A5A5" w:sz="4" w:space="0"/>
            </w:tcBorders>
            <w:vAlign w:val="center"/>
          </w:tcPr>
          <w:p w14:paraId="503C28CD">
            <w:pPr>
              <w:pStyle w:val="78"/>
              <w:rPr>
                <w:rFonts w:hint="default" w:eastAsiaTheme="minorEastAsia"/>
                <w:color w:val="FF0000"/>
                <w:lang w:val="en-US" w:eastAsia="zh-CN"/>
              </w:rPr>
            </w:pPr>
            <w:r>
              <w:rPr>
                <w:rFonts w:hint="eastAsia"/>
                <w:color w:val="FF0000"/>
                <w:lang w:val="en-US" w:eastAsia="zh-CN"/>
              </w:rPr>
              <w:t>30s</w:t>
            </w:r>
          </w:p>
        </w:tc>
      </w:tr>
      <w:tr w14:paraId="3005F94D">
        <w:trPr>
          <w:trHeight w:val="20" w:hRule="atLeast"/>
          <w:jc w:val="center"/>
        </w:trPr>
        <w:tc>
          <w:tcPr>
            <w:tcW w:w="0" w:type="auto"/>
            <w:tcBorders>
              <w:top w:val="double" w:color="A5A5A5" w:sz="4" w:space="0"/>
              <w:left w:val="double" w:color="A5A5A5" w:sz="4" w:space="0"/>
              <w:bottom w:val="double" w:color="A5A5A5" w:sz="4" w:space="0"/>
              <w:right w:val="double" w:color="A5A5A5" w:sz="4" w:space="0"/>
            </w:tcBorders>
            <w:vAlign w:val="center"/>
          </w:tcPr>
          <w:p w14:paraId="5458F357">
            <w:pPr>
              <w:pStyle w:val="78"/>
            </w:pPr>
            <w:r>
              <w:t>Deep sleep</w:t>
            </w:r>
          </w:p>
        </w:tc>
        <w:tc>
          <w:tcPr>
            <w:tcW w:w="0" w:type="auto"/>
            <w:tcBorders>
              <w:top w:val="double" w:color="A5A5A5" w:sz="4" w:space="0"/>
              <w:left w:val="double" w:color="A5A5A5" w:sz="4" w:space="0"/>
              <w:bottom w:val="double" w:color="A5A5A5" w:sz="4" w:space="0"/>
              <w:right w:val="double" w:color="A5A5A5" w:sz="4" w:space="0"/>
            </w:tcBorders>
            <w:vAlign w:val="center"/>
          </w:tcPr>
          <w:p w14:paraId="157A7F0B">
            <w:pPr>
              <w:pStyle w:val="78"/>
            </w:pPr>
            <w:r>
              <w:t>50 ms</w:t>
            </w:r>
          </w:p>
        </w:tc>
        <w:tc>
          <w:tcPr>
            <w:tcW w:w="0" w:type="auto"/>
            <w:tcBorders>
              <w:top w:val="double" w:color="A5A5A5" w:sz="4" w:space="0"/>
              <w:left w:val="double" w:color="A5A5A5" w:sz="4" w:space="0"/>
              <w:bottom w:val="double" w:color="A5A5A5" w:sz="4" w:space="0"/>
              <w:right w:val="double" w:color="A5A5A5" w:sz="4" w:space="0"/>
            </w:tcBorders>
            <w:vAlign w:val="center"/>
          </w:tcPr>
          <w:p w14:paraId="2766DBAB">
            <w:pPr>
              <w:pStyle w:val="78"/>
              <w:rPr>
                <w:color w:val="FF0000"/>
              </w:rPr>
            </w:pPr>
            <w:r>
              <w:rPr>
                <w:color w:val="FF0000"/>
              </w:rPr>
              <w:t>10 s</w:t>
            </w:r>
          </w:p>
        </w:tc>
      </w:tr>
      <w:tr w14:paraId="65D551E1">
        <w:trPr>
          <w:trHeight w:val="20" w:hRule="atLeast"/>
          <w:jc w:val="center"/>
        </w:trPr>
        <w:tc>
          <w:tcPr>
            <w:tcW w:w="0" w:type="auto"/>
            <w:tcBorders>
              <w:top w:val="double" w:color="A5A5A5" w:sz="4" w:space="0"/>
              <w:left w:val="double" w:color="A5A5A5" w:sz="4" w:space="0"/>
              <w:bottom w:val="double" w:color="A5A5A5" w:sz="4" w:space="0"/>
              <w:right w:val="double" w:color="A5A5A5" w:sz="4" w:space="0"/>
            </w:tcBorders>
            <w:vAlign w:val="center"/>
          </w:tcPr>
          <w:p w14:paraId="7039D211">
            <w:pPr>
              <w:pStyle w:val="78"/>
            </w:pPr>
            <w:r>
              <w:t>Light sleep</w:t>
            </w:r>
          </w:p>
        </w:tc>
        <w:tc>
          <w:tcPr>
            <w:tcW w:w="0" w:type="auto"/>
            <w:tcBorders>
              <w:top w:val="double" w:color="A5A5A5" w:sz="4" w:space="0"/>
              <w:left w:val="double" w:color="A5A5A5" w:sz="4" w:space="0"/>
              <w:bottom w:val="double" w:color="A5A5A5" w:sz="4" w:space="0"/>
              <w:right w:val="double" w:color="A5A5A5" w:sz="4" w:space="0"/>
            </w:tcBorders>
            <w:vAlign w:val="center"/>
          </w:tcPr>
          <w:p w14:paraId="034CC57E">
            <w:pPr>
              <w:pStyle w:val="78"/>
            </w:pPr>
            <w:r>
              <w:t>6 ms</w:t>
            </w:r>
          </w:p>
        </w:tc>
        <w:tc>
          <w:tcPr>
            <w:tcW w:w="0" w:type="auto"/>
            <w:tcBorders>
              <w:top w:val="double" w:color="A5A5A5" w:sz="4" w:space="0"/>
              <w:left w:val="double" w:color="A5A5A5" w:sz="4" w:space="0"/>
              <w:bottom w:val="double" w:color="A5A5A5" w:sz="4" w:space="0"/>
              <w:right w:val="double" w:color="A5A5A5" w:sz="4" w:space="0"/>
            </w:tcBorders>
            <w:vAlign w:val="center"/>
          </w:tcPr>
          <w:p w14:paraId="3341292C">
            <w:pPr>
              <w:pStyle w:val="78"/>
              <w:rPr>
                <w:color w:val="FF0000"/>
              </w:rPr>
            </w:pPr>
            <w:r>
              <w:rPr>
                <w:color w:val="FF0000"/>
              </w:rPr>
              <w:t>640 ms</w:t>
            </w:r>
          </w:p>
        </w:tc>
      </w:tr>
      <w:tr w14:paraId="5367A8A5">
        <w:trPr>
          <w:trHeight w:val="20" w:hRule="atLeast"/>
          <w:jc w:val="center"/>
        </w:trPr>
        <w:tc>
          <w:tcPr>
            <w:tcW w:w="0" w:type="auto"/>
            <w:tcBorders>
              <w:top w:val="double" w:color="A5A5A5" w:sz="4" w:space="0"/>
              <w:left w:val="double" w:color="A5A5A5" w:sz="4" w:space="0"/>
              <w:bottom w:val="double" w:color="A5A5A5" w:sz="4" w:space="0"/>
              <w:right w:val="double" w:color="A5A5A5" w:sz="4" w:space="0"/>
            </w:tcBorders>
            <w:vAlign w:val="center"/>
          </w:tcPr>
          <w:p w14:paraId="08D15212">
            <w:pPr>
              <w:pStyle w:val="78"/>
              <w:rPr>
                <w:rFonts w:hint="default" w:eastAsiaTheme="minorEastAsia"/>
                <w:lang w:val="en-US" w:eastAsia="zh-CN"/>
              </w:rPr>
            </w:pPr>
            <w:r>
              <w:rPr>
                <w:rFonts w:hint="eastAsia"/>
                <w:lang w:val="en-US" w:eastAsia="zh-CN"/>
              </w:rPr>
              <w:t>Micro sleep</w:t>
            </w:r>
          </w:p>
        </w:tc>
        <w:tc>
          <w:tcPr>
            <w:tcW w:w="0" w:type="auto"/>
            <w:tcBorders>
              <w:top w:val="double" w:color="A5A5A5" w:sz="4" w:space="0"/>
              <w:left w:val="double" w:color="A5A5A5" w:sz="4" w:space="0"/>
              <w:bottom w:val="double" w:color="A5A5A5" w:sz="4" w:space="0"/>
              <w:right w:val="double" w:color="A5A5A5" w:sz="4" w:space="0"/>
            </w:tcBorders>
            <w:vAlign w:val="center"/>
          </w:tcPr>
          <w:p w14:paraId="04BF783E">
            <w:pPr>
              <w:pStyle w:val="78"/>
              <w:rPr>
                <w:rFonts w:hint="default" w:eastAsiaTheme="minorEastAsia"/>
                <w:lang w:val="en-US" w:eastAsia="zh-CN"/>
              </w:rPr>
            </w:pPr>
            <w:r>
              <w:rPr>
                <w:rFonts w:hint="eastAsia"/>
                <w:lang w:val="en-US" w:eastAsia="zh-CN"/>
              </w:rPr>
              <w:t>0ms</w:t>
            </w:r>
          </w:p>
        </w:tc>
        <w:tc>
          <w:tcPr>
            <w:tcW w:w="0" w:type="auto"/>
            <w:tcBorders>
              <w:top w:val="double" w:color="A5A5A5" w:sz="4" w:space="0"/>
              <w:left w:val="double" w:color="A5A5A5" w:sz="4" w:space="0"/>
              <w:bottom w:val="double" w:color="A5A5A5" w:sz="4" w:space="0"/>
              <w:right w:val="double" w:color="A5A5A5" w:sz="4" w:space="0"/>
            </w:tcBorders>
            <w:vAlign w:val="center"/>
          </w:tcPr>
          <w:p w14:paraId="75DC733B">
            <w:pPr>
              <w:pStyle w:val="78"/>
              <w:rPr>
                <w:rFonts w:hint="default" w:eastAsiaTheme="minorEastAsia"/>
                <w:color w:val="FF0000"/>
                <w:lang w:val="en-US" w:eastAsia="zh-CN"/>
              </w:rPr>
            </w:pPr>
            <w:r>
              <w:rPr>
                <w:rFonts w:hint="eastAsia"/>
                <w:color w:val="FF0000"/>
                <w:lang w:val="en-US" w:eastAsia="zh-CN"/>
              </w:rPr>
              <w:t>0ms</w:t>
            </w:r>
          </w:p>
        </w:tc>
      </w:tr>
    </w:tbl>
    <w:p w14:paraId="619C0E00">
      <w:pPr>
        <w:pStyle w:val="5"/>
        <w:jc w:val="center"/>
        <w:rPr>
          <w:rFonts w:hint="default" w:ascii="Times New Roman Italic" w:hAnsi="Times New Roman Italic" w:cs="Times New Roman Italic"/>
          <w:i/>
          <w:iCs/>
          <w:lang w:val="en-US"/>
        </w:rPr>
      </w:pPr>
    </w:p>
    <w:p w14:paraId="5167594E">
      <w:pPr>
        <w:pStyle w:val="5"/>
        <w:jc w:val="center"/>
        <w:rPr>
          <w:rFonts w:hint="default" w:ascii="Times New Roman Italic" w:hAnsi="Times New Roman Italic" w:cs="Times New Roman Italic"/>
          <w:i/>
          <w:iCs/>
          <w:lang w:val="en-US"/>
        </w:rPr>
      </w:pPr>
      <w:r>
        <w:rPr>
          <w:rFonts w:hint="default" w:ascii="Times New Roman Italic" w:hAnsi="Times New Roman Italic" w:cs="Times New Roman Italic"/>
          <w:i/>
          <w:iCs/>
          <w:lang w:val="en-US"/>
        </w:rPr>
        <w:t xml:space="preserve">Table </w:t>
      </w:r>
      <w:r>
        <w:rPr>
          <w:rFonts w:hint="eastAsia" w:ascii="Times New Roman Italic" w:hAnsi="Times New Roman Italic" w:cs="Times New Roman Italic"/>
          <w:i/>
          <w:iCs/>
          <w:lang w:val="en-US" w:eastAsia="zh-CN"/>
        </w:rPr>
        <w:t>5</w:t>
      </w:r>
      <w:r>
        <w:rPr>
          <w:rFonts w:hint="default" w:ascii="Times New Roman Italic" w:hAnsi="Times New Roman Italic" w:cs="Times New Roman Italic"/>
          <w:i/>
          <w:iCs/>
          <w:lang w:val="en-US"/>
        </w:rPr>
        <w:t xml:space="preserve">: </w:t>
      </w:r>
      <w:r>
        <w:rPr>
          <w:rFonts w:hint="eastAsia" w:ascii="Times New Roman Italic" w:hAnsi="Times New Roman Italic" w:cs="Times New Roman Italic"/>
          <w:i/>
          <w:iCs/>
          <w:lang w:val="en-US" w:eastAsia="zh-CN"/>
        </w:rPr>
        <w:t>A</w:t>
      </w:r>
      <w:r>
        <w:rPr>
          <w:rFonts w:hint="default" w:ascii="Times New Roman Italic" w:hAnsi="Times New Roman Italic" w:cs="Times New Roman Italic"/>
          <w:i/>
          <w:iCs/>
          <w:lang w:val="en-US"/>
        </w:rPr>
        <w:t>dditional transition energy E for reference configuration for category 2 or NEW BS category (category 3)</w:t>
      </w:r>
    </w:p>
    <w:tbl>
      <w:tblPr>
        <w:tblStyle w:val="27"/>
        <w:tblW w:w="5242" w:type="dxa"/>
        <w:jc w:val="cente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1810"/>
        <w:gridCol w:w="1716"/>
        <w:gridCol w:w="1716"/>
      </w:tblGrid>
      <w:tr w14:paraId="4C004A99">
        <w:trPr>
          <w:trHeight w:val="20" w:hRule="atLeast"/>
          <w:jc w:val="center"/>
        </w:trPr>
        <w:tc>
          <w:tcPr>
            <w:tcW w:w="0" w:type="auto"/>
            <w:tcBorders>
              <w:top w:val="double" w:color="A5A5A5" w:sz="4" w:space="0"/>
              <w:left w:val="double" w:color="A5A5A5" w:sz="4" w:space="0"/>
              <w:bottom w:val="double" w:color="A5A5A5" w:sz="4" w:space="0"/>
              <w:right w:val="double" w:color="A5A5A5" w:sz="4" w:space="0"/>
            </w:tcBorders>
            <w:vAlign w:val="center"/>
          </w:tcPr>
          <w:p w14:paraId="32FE04B2">
            <w:pPr>
              <w:pStyle w:val="77"/>
            </w:pPr>
            <w:r>
              <w:t>Power state</w:t>
            </w:r>
          </w:p>
        </w:tc>
        <w:tc>
          <w:tcPr>
            <w:tcW w:w="0" w:type="auto"/>
            <w:tcBorders>
              <w:top w:val="double" w:color="A5A5A5" w:sz="4" w:space="0"/>
              <w:left w:val="double" w:color="A5A5A5" w:sz="4" w:space="0"/>
              <w:bottom w:val="double" w:color="A5A5A5" w:sz="4" w:space="0"/>
              <w:right w:val="double" w:color="A5A5A5" w:sz="4" w:space="0"/>
            </w:tcBorders>
            <w:vAlign w:val="center"/>
          </w:tcPr>
          <w:p w14:paraId="5606FEFF">
            <w:pPr>
              <w:pStyle w:val="77"/>
              <w:rPr>
                <w:rFonts w:hint="eastAsia" w:eastAsiaTheme="minorEastAsia"/>
                <w:lang w:eastAsia="zh-CN"/>
              </w:rPr>
            </w:pPr>
            <w:r>
              <w:t xml:space="preserve">BS Category </w:t>
            </w:r>
            <w:r>
              <w:rPr>
                <w:rFonts w:hint="eastAsia"/>
                <w:lang w:val="en-US" w:eastAsia="zh-CN"/>
              </w:rPr>
              <w:t>2</w:t>
            </w:r>
          </w:p>
        </w:tc>
        <w:tc>
          <w:tcPr>
            <w:tcW w:w="0" w:type="auto"/>
            <w:tcBorders>
              <w:top w:val="double" w:color="A5A5A5" w:sz="4" w:space="0"/>
              <w:left w:val="double" w:color="A5A5A5" w:sz="4" w:space="0"/>
              <w:bottom w:val="double" w:color="A5A5A5" w:sz="4" w:space="0"/>
              <w:right w:val="double" w:color="A5A5A5" w:sz="4" w:space="0"/>
            </w:tcBorders>
            <w:vAlign w:val="center"/>
          </w:tcPr>
          <w:p w14:paraId="657170C6">
            <w:pPr>
              <w:pStyle w:val="77"/>
              <w:rPr>
                <w:rFonts w:hint="eastAsia" w:eastAsiaTheme="minorEastAsia"/>
                <w:lang w:eastAsia="zh-CN"/>
              </w:rPr>
            </w:pPr>
            <w:r>
              <w:rPr>
                <w:color w:val="FF0000"/>
              </w:rPr>
              <w:t xml:space="preserve">BS Category </w:t>
            </w:r>
            <w:r>
              <w:rPr>
                <w:rFonts w:hint="eastAsia"/>
                <w:color w:val="FF0000"/>
                <w:lang w:val="en-US" w:eastAsia="zh-CN"/>
              </w:rPr>
              <w:t>3</w:t>
            </w:r>
          </w:p>
        </w:tc>
      </w:tr>
      <w:tr w14:paraId="05D77C0D">
        <w:trPr>
          <w:trHeight w:val="20" w:hRule="atLeast"/>
          <w:jc w:val="center"/>
        </w:trPr>
        <w:tc>
          <w:tcPr>
            <w:tcW w:w="0" w:type="auto"/>
            <w:tcBorders>
              <w:top w:val="double" w:color="A5A5A5" w:sz="4" w:space="0"/>
              <w:left w:val="double" w:color="A5A5A5" w:sz="4" w:space="0"/>
              <w:bottom w:val="double" w:color="A5A5A5" w:sz="4" w:space="0"/>
              <w:right w:val="double" w:color="A5A5A5" w:sz="4" w:space="0"/>
            </w:tcBorders>
            <w:vAlign w:val="center"/>
          </w:tcPr>
          <w:p w14:paraId="0791274A">
            <w:pPr>
              <w:pStyle w:val="78"/>
            </w:pPr>
            <w:r>
              <w:rPr>
                <w:rFonts w:hint="default"/>
                <w:color w:val="FF0000"/>
                <w:lang w:val="en-US"/>
              </w:rPr>
              <w:t>Ultra deep sleep</w:t>
            </w:r>
          </w:p>
        </w:tc>
        <w:tc>
          <w:tcPr>
            <w:tcW w:w="0" w:type="auto"/>
            <w:tcBorders>
              <w:top w:val="double" w:color="A5A5A5" w:sz="4" w:space="0"/>
              <w:left w:val="double" w:color="A5A5A5" w:sz="4" w:space="0"/>
              <w:bottom w:val="double" w:color="A5A5A5" w:sz="4" w:space="0"/>
              <w:right w:val="double" w:color="A5A5A5" w:sz="4" w:space="0"/>
            </w:tcBorders>
            <w:vAlign w:val="center"/>
          </w:tcPr>
          <w:p w14:paraId="152EDD09">
            <w:pPr>
              <w:pStyle w:val="78"/>
              <w:rPr>
                <w:rFonts w:hint="default" w:eastAsiaTheme="minorEastAsia"/>
                <w:color w:val="FF0000"/>
                <w:lang w:val="en-US" w:eastAsia="zh-CN"/>
              </w:rPr>
            </w:pPr>
            <w:r>
              <w:rPr>
                <w:rFonts w:hint="eastAsia"/>
                <w:color w:val="FF0000"/>
                <w:lang w:val="en-US" w:eastAsia="zh-CN"/>
              </w:rPr>
              <w:t>--</w:t>
            </w:r>
          </w:p>
        </w:tc>
        <w:tc>
          <w:tcPr>
            <w:tcW w:w="0" w:type="auto"/>
            <w:tcBorders>
              <w:top w:val="double" w:color="A5A5A5" w:sz="4" w:space="0"/>
              <w:left w:val="double" w:color="A5A5A5" w:sz="4" w:space="0"/>
              <w:bottom w:val="double" w:color="A5A5A5" w:sz="4" w:space="0"/>
              <w:right w:val="double" w:color="A5A5A5" w:sz="4" w:space="0"/>
            </w:tcBorders>
            <w:vAlign w:val="center"/>
          </w:tcPr>
          <w:p w14:paraId="16F3EC42">
            <w:pPr>
              <w:pStyle w:val="78"/>
              <w:rPr>
                <w:rFonts w:hint="default" w:eastAsiaTheme="minorEastAsia"/>
                <w:color w:val="FF0000"/>
                <w:lang w:val="en-US" w:eastAsia="zh-CN"/>
              </w:rPr>
            </w:pPr>
            <w:r>
              <w:rPr>
                <w:rFonts w:hint="eastAsia"/>
                <w:color w:val="FF0000"/>
                <w:lang w:val="en-US" w:eastAsia="zh-CN"/>
              </w:rPr>
              <w:t>30000</w:t>
            </w:r>
          </w:p>
        </w:tc>
      </w:tr>
      <w:tr w14:paraId="07EC581D">
        <w:trPr>
          <w:trHeight w:val="20" w:hRule="atLeast"/>
          <w:jc w:val="center"/>
        </w:trPr>
        <w:tc>
          <w:tcPr>
            <w:tcW w:w="0" w:type="auto"/>
            <w:tcBorders>
              <w:top w:val="double" w:color="A5A5A5" w:sz="4" w:space="0"/>
              <w:left w:val="double" w:color="A5A5A5" w:sz="4" w:space="0"/>
              <w:bottom w:val="double" w:color="A5A5A5" w:sz="4" w:space="0"/>
              <w:right w:val="double" w:color="A5A5A5" w:sz="4" w:space="0"/>
            </w:tcBorders>
            <w:vAlign w:val="center"/>
          </w:tcPr>
          <w:p w14:paraId="423AB449">
            <w:pPr>
              <w:pStyle w:val="78"/>
            </w:pPr>
            <w:r>
              <w:t>Deep sleep</w:t>
            </w:r>
          </w:p>
        </w:tc>
        <w:tc>
          <w:tcPr>
            <w:tcW w:w="1716" w:type="dxa"/>
            <w:tcBorders>
              <w:top w:val="double" w:color="A5A5A5" w:sz="4" w:space="0"/>
              <w:left w:val="double" w:color="A5A5A5" w:sz="4" w:space="0"/>
              <w:bottom w:val="double" w:color="A5A5A5" w:sz="4" w:space="0"/>
              <w:right w:val="double" w:color="A5A5A5" w:sz="4" w:space="0"/>
            </w:tcBorders>
            <w:vAlign w:val="center"/>
          </w:tcPr>
          <w:p w14:paraId="61233327">
            <w:pPr>
              <w:pStyle w:val="78"/>
            </w:pPr>
            <w:r>
              <w:t>17000</w:t>
            </w:r>
          </w:p>
        </w:tc>
        <w:tc>
          <w:tcPr>
            <w:tcW w:w="0" w:type="auto"/>
            <w:tcBorders>
              <w:top w:val="double" w:color="A5A5A5" w:sz="4" w:space="0"/>
              <w:left w:val="double" w:color="A5A5A5" w:sz="4" w:space="0"/>
              <w:bottom w:val="double" w:color="A5A5A5" w:sz="4" w:space="0"/>
              <w:right w:val="double" w:color="A5A5A5" w:sz="4" w:space="0"/>
            </w:tcBorders>
            <w:vAlign w:val="center"/>
          </w:tcPr>
          <w:p w14:paraId="1E6E48D2">
            <w:pPr>
              <w:pStyle w:val="78"/>
              <w:rPr>
                <w:rFonts w:hint="default" w:eastAsiaTheme="minorEastAsia"/>
                <w:color w:val="FF0000"/>
                <w:lang w:val="en-US" w:eastAsia="zh-CN"/>
              </w:rPr>
            </w:pPr>
            <w:r>
              <w:rPr>
                <w:rFonts w:hint="eastAsia"/>
                <w:color w:val="FF0000"/>
                <w:lang w:val="en-US" w:eastAsia="zh-CN"/>
              </w:rPr>
              <w:t>20000</w:t>
            </w:r>
          </w:p>
        </w:tc>
      </w:tr>
      <w:tr w14:paraId="68E9591D">
        <w:trPr>
          <w:trHeight w:val="20" w:hRule="atLeast"/>
          <w:jc w:val="center"/>
        </w:trPr>
        <w:tc>
          <w:tcPr>
            <w:tcW w:w="0" w:type="auto"/>
            <w:tcBorders>
              <w:top w:val="double" w:color="A5A5A5" w:sz="4" w:space="0"/>
              <w:left w:val="double" w:color="A5A5A5" w:sz="4" w:space="0"/>
              <w:bottom w:val="double" w:color="A5A5A5" w:sz="4" w:space="0"/>
              <w:right w:val="double" w:color="A5A5A5" w:sz="4" w:space="0"/>
            </w:tcBorders>
            <w:vAlign w:val="center"/>
          </w:tcPr>
          <w:p w14:paraId="10FD1061">
            <w:pPr>
              <w:pStyle w:val="78"/>
            </w:pPr>
            <w:r>
              <w:t>Light sleep</w:t>
            </w:r>
          </w:p>
        </w:tc>
        <w:tc>
          <w:tcPr>
            <w:tcW w:w="1716" w:type="dxa"/>
            <w:tcBorders>
              <w:top w:val="double" w:color="A5A5A5" w:sz="4" w:space="0"/>
              <w:left w:val="double" w:color="A5A5A5" w:sz="4" w:space="0"/>
              <w:bottom w:val="double" w:color="A5A5A5" w:sz="4" w:space="0"/>
              <w:right w:val="double" w:color="A5A5A5" w:sz="4" w:space="0"/>
            </w:tcBorders>
            <w:vAlign w:val="center"/>
          </w:tcPr>
          <w:p w14:paraId="576A036C">
            <w:pPr>
              <w:pStyle w:val="78"/>
            </w:pPr>
            <w:r>
              <w:t>1088</w:t>
            </w:r>
          </w:p>
        </w:tc>
        <w:tc>
          <w:tcPr>
            <w:tcW w:w="0" w:type="auto"/>
            <w:tcBorders>
              <w:top w:val="double" w:color="A5A5A5" w:sz="4" w:space="0"/>
              <w:left w:val="double" w:color="A5A5A5" w:sz="4" w:space="0"/>
              <w:bottom w:val="double" w:color="A5A5A5" w:sz="4" w:space="0"/>
              <w:right w:val="double" w:color="A5A5A5" w:sz="4" w:space="0"/>
            </w:tcBorders>
            <w:vAlign w:val="center"/>
          </w:tcPr>
          <w:p w14:paraId="19122A31">
            <w:pPr>
              <w:pStyle w:val="78"/>
              <w:rPr>
                <w:rFonts w:hint="default" w:eastAsiaTheme="minorEastAsia"/>
                <w:color w:val="FF0000"/>
                <w:lang w:val="en-US" w:eastAsia="zh-CN"/>
              </w:rPr>
            </w:pPr>
            <w:r>
              <w:rPr>
                <w:rFonts w:hint="eastAsia"/>
                <w:color w:val="FF0000"/>
                <w:lang w:val="en-US" w:eastAsia="zh-CN"/>
              </w:rPr>
              <w:t>2000</w:t>
            </w:r>
          </w:p>
        </w:tc>
      </w:tr>
    </w:tbl>
    <w:p w14:paraId="6FA5187C">
      <w:pPr>
        <w:pStyle w:val="5"/>
        <w:jc w:val="both"/>
        <w:rPr>
          <w:rFonts w:hint="default" w:ascii="Times New Roman Italic" w:hAnsi="Times New Roman Italic" w:cs="Times New Roman Italic"/>
          <w:i/>
          <w:iCs/>
          <w:lang w:val="en-US"/>
        </w:rPr>
      </w:pPr>
    </w:p>
    <w:p w14:paraId="6F7FE62E">
      <w:pPr>
        <w:pStyle w:val="5"/>
      </w:pPr>
      <w:r>
        <w:t xml:space="preserve">To quantify these behaviors, Table 4 compares representative </w:t>
      </w:r>
      <w:r>
        <w:rPr>
          <w:b w:val="0"/>
          <w:bCs w:val="0"/>
        </w:rPr>
        <w:t xml:space="preserve">transition times T </w:t>
      </w:r>
      <w:r>
        <w:t xml:space="preserve">for Category 2 vs. Category 3, and Table 5 compares the </w:t>
      </w:r>
      <w:r>
        <w:rPr>
          <w:b w:val="0"/>
          <w:bCs w:val="0"/>
        </w:rPr>
        <w:t>transition energy overhead E</w:t>
      </w:r>
      <w:r>
        <w:rPr>
          <w:rFonts w:hint="default"/>
          <w:b w:val="0"/>
          <w:bCs w:val="0"/>
          <w:lang w:val="en-US"/>
        </w:rPr>
        <w:t>(</w:t>
      </w:r>
      <w:r>
        <w:t>These values are illustrative</w:t>
      </w:r>
      <w:r>
        <w:rPr>
          <w:rFonts w:hint="default"/>
          <w:lang w:val="en-US"/>
        </w:rPr>
        <w:t xml:space="preserve"> or recommended</w:t>
      </w:r>
      <w:r>
        <w:t xml:space="preserve">; actual numbers will depend on hardware specifics.) We see that Category 3 incurs much longer wake-up times – e.g. deep sleep exit on the order of 10 s, versus tens of ms for Category 2. Light sleep exit might be a few hundred ms for Cat 3 (still significantly slower than Cat 2’s single-digit milliseconds). These delays correspond to powering down more subsystems: for example, Cat 3 light sleep might disable reference clocks or certain baseband sections that Cat 2 keeps on, hence needing ~0.64 s to re-enable and warm up, instead of 0.006 s. Likewise, the </w:t>
      </w:r>
      <w:r>
        <w:rPr>
          <w:b w:val="0"/>
          <w:bCs w:val="0"/>
        </w:rPr>
        <w:t>additional energy</w:t>
      </w:r>
      <w:r>
        <w:t xml:space="preserve"> needed to transition is higher for deeper sleeps and for Cat 3. Waking a fully dormant BS (Cat 3 deep/ultra-deep) might involve inrush currents, re-calibration, etc., costing tens of kJ, whereas Cat 2’s shallower sleeps cost less (e.g. ~17 kJ for deep sleep). These overheads mean that ultra-deep sleep is only energy-efficient if the BS remains in that state for a sufficiently long interval (to “pay back” the wake-up energy), which again suggests using it primarily for very low traffic periods.</w:t>
      </w:r>
    </w:p>
    <w:p w14:paraId="4CB93A53">
      <w:pPr>
        <w:pStyle w:val="5"/>
        <w:rPr>
          <w:rFonts w:hint="default" w:ascii="Times New Roman Bold Italic" w:hAnsi="Times New Roman Bold Italic" w:cs="Times New Roman Bold Italic"/>
          <w:b/>
          <w:bCs/>
          <w:i/>
          <w:iCs/>
          <w:sz w:val="22"/>
          <w:szCs w:val="22"/>
          <w:lang w:val="en-US" w:eastAsia="zh-CN"/>
        </w:rPr>
      </w:pPr>
      <w:r>
        <w:rPr>
          <w:rFonts w:hint="default" w:ascii="Times New Roman Bold Italic" w:hAnsi="Times New Roman Bold Italic" w:cs="Times New Roman Bold Italic"/>
          <w:b/>
          <w:bCs/>
          <w:i/>
          <w:iCs/>
          <w:sz w:val="22"/>
          <w:szCs w:val="22"/>
          <w:lang w:val="en-US"/>
        </w:rPr>
        <w:t>Proposal 12:</w:t>
      </w:r>
      <w:r>
        <w:rPr>
          <w:rFonts w:hint="default" w:ascii="Times New Roman Italic" w:hAnsi="Times New Roman Italic" w:cs="Times New Roman Italic"/>
          <w:i/>
          <w:iCs/>
          <w:sz w:val="22"/>
          <w:szCs w:val="22"/>
          <w:lang w:val="en-US"/>
        </w:rPr>
        <w:t xml:space="preserve"> </w:t>
      </w:r>
      <w:r>
        <w:rPr>
          <w:rFonts w:hint="default" w:ascii="Times New Roman Bold Italic" w:hAnsi="Times New Roman Bold Italic" w:cs="Times New Roman Bold Italic"/>
          <w:b/>
          <w:bCs/>
          <w:i/>
          <w:iCs/>
          <w:sz w:val="22"/>
          <w:szCs w:val="22"/>
          <w:lang w:val="en-US" w:eastAsia="zh-CN"/>
        </w:rPr>
        <w:t>For Cat 2 and Cat 3, update TR 38.864</w:t>
      </w:r>
      <w:r>
        <w:rPr>
          <w:rFonts w:hint="default" w:ascii="Times New Roman Bold Italic" w:hAnsi="Times New Roman Bold Italic" w:eastAsia="宋体" w:cs="Times New Roman Bold Italic"/>
          <w:b/>
          <w:bCs/>
          <w:i/>
          <w:iCs/>
          <w:sz w:val="22"/>
          <w:szCs w:val="22"/>
          <w:lang w:val="en-US" w:eastAsia="zh-CN"/>
        </w:rPr>
        <w:t xml:space="preserve"> total transition time T and transition energy E</w:t>
      </w:r>
      <w:r>
        <w:rPr>
          <w:rFonts w:hint="default" w:ascii="Times New Roman Bold Italic" w:hAnsi="Times New Roman Bold Italic" w:cs="Times New Roman Bold Italic"/>
          <w:b/>
          <w:bCs/>
          <w:i/>
          <w:iCs/>
          <w:sz w:val="22"/>
          <w:szCs w:val="22"/>
          <w:lang w:val="en-US" w:eastAsia="zh-CN"/>
        </w:rPr>
        <w:t xml:space="preserve"> as below</w:t>
      </w:r>
    </w:p>
    <w:p w14:paraId="114988CA">
      <w:pPr>
        <w:pStyle w:val="5"/>
        <w:jc w:val="center"/>
        <w:rPr>
          <w:rFonts w:hint="default" w:ascii="Times New Roman Italic" w:hAnsi="Times New Roman Italic" w:cs="Times New Roman Italic"/>
          <w:i/>
          <w:iCs/>
          <w:lang w:val="en-US"/>
        </w:rPr>
      </w:pPr>
      <w:r>
        <w:rPr>
          <w:rFonts w:hint="default" w:ascii="Times New Roman Italic" w:hAnsi="Times New Roman Italic" w:cs="Times New Roman Italic"/>
          <w:i/>
          <w:iCs/>
          <w:lang w:val="en-US"/>
        </w:rPr>
        <w:t xml:space="preserve">Table </w:t>
      </w:r>
      <w:r>
        <w:rPr>
          <w:rFonts w:hint="eastAsia" w:ascii="Times New Roman Italic" w:hAnsi="Times New Roman Italic" w:cs="Times New Roman Italic"/>
          <w:i/>
          <w:iCs/>
          <w:lang w:val="en-US" w:eastAsia="zh-CN"/>
        </w:rPr>
        <w:t>4</w:t>
      </w:r>
      <w:r>
        <w:rPr>
          <w:rFonts w:hint="default" w:ascii="Times New Roman Italic" w:hAnsi="Times New Roman Italic" w:cs="Times New Roman Italic"/>
          <w:i/>
          <w:iCs/>
          <w:lang w:val="en-US"/>
        </w:rPr>
        <w:t xml:space="preserve">: </w:t>
      </w:r>
      <w:r>
        <w:rPr>
          <w:rFonts w:hint="eastAsia" w:ascii="Times New Roman Italic" w:hAnsi="Times New Roman Italic" w:cs="Times New Roman Italic"/>
          <w:i/>
          <w:iCs/>
          <w:lang w:val="en-US" w:eastAsia="zh-CN"/>
        </w:rPr>
        <w:t>T</w:t>
      </w:r>
      <w:r>
        <w:rPr>
          <w:rFonts w:hint="default" w:ascii="Times New Roman Italic" w:hAnsi="Times New Roman Italic" w:cs="Times New Roman Italic"/>
          <w:i/>
          <w:iCs/>
          <w:lang w:val="en-US"/>
        </w:rPr>
        <w:t>otal transition time T for reference configuration for category 2 or NEW BS category (category 3)</w:t>
      </w:r>
    </w:p>
    <w:tbl>
      <w:tblPr>
        <w:tblStyle w:val="27"/>
        <w:tblW w:w="5320" w:type="dxa"/>
        <w:jc w:val="cente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1838"/>
        <w:gridCol w:w="1741"/>
        <w:gridCol w:w="1741"/>
      </w:tblGrid>
      <w:tr w14:paraId="721656A7">
        <w:trPr>
          <w:trHeight w:val="20" w:hRule="atLeast"/>
          <w:jc w:val="center"/>
        </w:trPr>
        <w:tc>
          <w:tcPr>
            <w:tcW w:w="0" w:type="auto"/>
            <w:tcBorders>
              <w:top w:val="double" w:color="A5A5A5" w:sz="4" w:space="0"/>
              <w:left w:val="double" w:color="A5A5A5" w:sz="4" w:space="0"/>
              <w:bottom w:val="double" w:color="A5A5A5" w:sz="4" w:space="0"/>
              <w:right w:val="double" w:color="A5A5A5" w:sz="4" w:space="0"/>
            </w:tcBorders>
            <w:vAlign w:val="center"/>
          </w:tcPr>
          <w:p w14:paraId="31C42997">
            <w:pPr>
              <w:pStyle w:val="77"/>
            </w:pPr>
            <w:r>
              <w:t>Power state</w:t>
            </w:r>
          </w:p>
        </w:tc>
        <w:tc>
          <w:tcPr>
            <w:tcW w:w="0" w:type="auto"/>
            <w:tcBorders>
              <w:top w:val="double" w:color="A5A5A5" w:sz="4" w:space="0"/>
              <w:left w:val="double" w:color="A5A5A5" w:sz="4" w:space="0"/>
              <w:bottom w:val="double" w:color="A5A5A5" w:sz="4" w:space="0"/>
              <w:right w:val="double" w:color="A5A5A5" w:sz="4" w:space="0"/>
            </w:tcBorders>
            <w:vAlign w:val="center"/>
          </w:tcPr>
          <w:p w14:paraId="62AB8B26">
            <w:pPr>
              <w:pStyle w:val="77"/>
              <w:rPr>
                <w:rFonts w:hint="eastAsia" w:eastAsiaTheme="minorEastAsia"/>
                <w:lang w:eastAsia="zh-CN"/>
              </w:rPr>
            </w:pPr>
            <w:r>
              <w:t xml:space="preserve">BS Category </w:t>
            </w:r>
            <w:r>
              <w:rPr>
                <w:rFonts w:hint="eastAsia"/>
                <w:lang w:val="en-US" w:eastAsia="zh-CN"/>
              </w:rPr>
              <w:t>2</w:t>
            </w:r>
          </w:p>
        </w:tc>
        <w:tc>
          <w:tcPr>
            <w:tcW w:w="0" w:type="auto"/>
            <w:tcBorders>
              <w:top w:val="double" w:color="A5A5A5" w:sz="4" w:space="0"/>
              <w:left w:val="double" w:color="A5A5A5" w:sz="4" w:space="0"/>
              <w:bottom w:val="double" w:color="A5A5A5" w:sz="4" w:space="0"/>
              <w:right w:val="double" w:color="A5A5A5" w:sz="4" w:space="0"/>
            </w:tcBorders>
            <w:vAlign w:val="center"/>
          </w:tcPr>
          <w:p w14:paraId="5D850028">
            <w:pPr>
              <w:pStyle w:val="77"/>
              <w:rPr>
                <w:rFonts w:hint="eastAsia" w:eastAsiaTheme="minorEastAsia"/>
                <w:lang w:eastAsia="zh-CN"/>
              </w:rPr>
            </w:pPr>
            <w:r>
              <w:rPr>
                <w:color w:val="FF0000"/>
              </w:rPr>
              <w:t xml:space="preserve">BS Category </w:t>
            </w:r>
            <w:r>
              <w:rPr>
                <w:rFonts w:hint="eastAsia"/>
                <w:color w:val="FF0000"/>
                <w:lang w:val="en-US" w:eastAsia="zh-CN"/>
              </w:rPr>
              <w:t>3</w:t>
            </w:r>
          </w:p>
        </w:tc>
      </w:tr>
      <w:tr w14:paraId="03F8805D">
        <w:trPr>
          <w:trHeight w:val="20" w:hRule="atLeast"/>
          <w:jc w:val="center"/>
        </w:trPr>
        <w:tc>
          <w:tcPr>
            <w:tcW w:w="0" w:type="auto"/>
            <w:tcBorders>
              <w:top w:val="double" w:color="A5A5A5" w:sz="4" w:space="0"/>
              <w:left w:val="double" w:color="A5A5A5" w:sz="4" w:space="0"/>
              <w:bottom w:val="double" w:color="A5A5A5" w:sz="4" w:space="0"/>
              <w:right w:val="double" w:color="A5A5A5" w:sz="4" w:space="0"/>
            </w:tcBorders>
            <w:vAlign w:val="center"/>
          </w:tcPr>
          <w:p w14:paraId="3AE38EFD">
            <w:pPr>
              <w:pStyle w:val="78"/>
              <w:rPr>
                <w:rFonts w:hint="default"/>
                <w:color w:val="FF0000"/>
                <w:lang w:val="en-US"/>
              </w:rPr>
            </w:pPr>
            <w:r>
              <w:rPr>
                <w:rFonts w:hint="default"/>
                <w:color w:val="FF0000"/>
                <w:lang w:val="en-US"/>
              </w:rPr>
              <w:t>Ultra deep sleep</w:t>
            </w:r>
          </w:p>
        </w:tc>
        <w:tc>
          <w:tcPr>
            <w:tcW w:w="0" w:type="auto"/>
            <w:tcBorders>
              <w:top w:val="double" w:color="A5A5A5" w:sz="4" w:space="0"/>
              <w:left w:val="double" w:color="A5A5A5" w:sz="4" w:space="0"/>
              <w:bottom w:val="double" w:color="A5A5A5" w:sz="4" w:space="0"/>
              <w:right w:val="double" w:color="A5A5A5" w:sz="4" w:space="0"/>
            </w:tcBorders>
            <w:vAlign w:val="center"/>
          </w:tcPr>
          <w:p w14:paraId="167D9D30">
            <w:pPr>
              <w:pStyle w:val="78"/>
              <w:rPr>
                <w:rFonts w:hint="default" w:eastAsiaTheme="minorEastAsia"/>
                <w:color w:val="FF0000"/>
                <w:lang w:val="en-US" w:eastAsia="zh-CN"/>
              </w:rPr>
            </w:pPr>
            <w:r>
              <w:rPr>
                <w:rFonts w:hint="eastAsia"/>
                <w:color w:val="FF0000"/>
                <w:lang w:val="en-US" w:eastAsia="zh-CN"/>
              </w:rPr>
              <w:t>--</w:t>
            </w:r>
          </w:p>
        </w:tc>
        <w:tc>
          <w:tcPr>
            <w:tcW w:w="0" w:type="auto"/>
            <w:tcBorders>
              <w:top w:val="double" w:color="A5A5A5" w:sz="4" w:space="0"/>
              <w:left w:val="double" w:color="A5A5A5" w:sz="4" w:space="0"/>
              <w:bottom w:val="double" w:color="A5A5A5" w:sz="4" w:space="0"/>
              <w:right w:val="double" w:color="A5A5A5" w:sz="4" w:space="0"/>
            </w:tcBorders>
            <w:vAlign w:val="center"/>
          </w:tcPr>
          <w:p w14:paraId="5E868C7F">
            <w:pPr>
              <w:pStyle w:val="78"/>
              <w:rPr>
                <w:rFonts w:hint="default" w:eastAsiaTheme="minorEastAsia"/>
                <w:color w:val="FF0000"/>
                <w:lang w:val="en-US" w:eastAsia="zh-CN"/>
              </w:rPr>
            </w:pPr>
            <w:r>
              <w:rPr>
                <w:rFonts w:hint="eastAsia"/>
                <w:color w:val="FF0000"/>
                <w:lang w:val="en-US" w:eastAsia="zh-CN"/>
              </w:rPr>
              <w:t>30s</w:t>
            </w:r>
          </w:p>
        </w:tc>
      </w:tr>
      <w:tr w14:paraId="5C189EB2">
        <w:trPr>
          <w:trHeight w:val="20" w:hRule="atLeast"/>
          <w:jc w:val="center"/>
        </w:trPr>
        <w:tc>
          <w:tcPr>
            <w:tcW w:w="0" w:type="auto"/>
            <w:tcBorders>
              <w:top w:val="double" w:color="A5A5A5" w:sz="4" w:space="0"/>
              <w:left w:val="double" w:color="A5A5A5" w:sz="4" w:space="0"/>
              <w:bottom w:val="double" w:color="A5A5A5" w:sz="4" w:space="0"/>
              <w:right w:val="double" w:color="A5A5A5" w:sz="4" w:space="0"/>
            </w:tcBorders>
            <w:vAlign w:val="center"/>
          </w:tcPr>
          <w:p w14:paraId="4BEA0734">
            <w:pPr>
              <w:pStyle w:val="78"/>
            </w:pPr>
            <w:r>
              <w:t>Deep sleep</w:t>
            </w:r>
          </w:p>
        </w:tc>
        <w:tc>
          <w:tcPr>
            <w:tcW w:w="0" w:type="auto"/>
            <w:tcBorders>
              <w:top w:val="double" w:color="A5A5A5" w:sz="4" w:space="0"/>
              <w:left w:val="double" w:color="A5A5A5" w:sz="4" w:space="0"/>
              <w:bottom w:val="double" w:color="A5A5A5" w:sz="4" w:space="0"/>
              <w:right w:val="double" w:color="A5A5A5" w:sz="4" w:space="0"/>
            </w:tcBorders>
            <w:vAlign w:val="center"/>
          </w:tcPr>
          <w:p w14:paraId="4028875E">
            <w:pPr>
              <w:pStyle w:val="78"/>
            </w:pPr>
            <w:r>
              <w:t>50 ms</w:t>
            </w:r>
          </w:p>
        </w:tc>
        <w:tc>
          <w:tcPr>
            <w:tcW w:w="0" w:type="auto"/>
            <w:tcBorders>
              <w:top w:val="double" w:color="A5A5A5" w:sz="4" w:space="0"/>
              <w:left w:val="double" w:color="A5A5A5" w:sz="4" w:space="0"/>
              <w:bottom w:val="double" w:color="A5A5A5" w:sz="4" w:space="0"/>
              <w:right w:val="double" w:color="A5A5A5" w:sz="4" w:space="0"/>
            </w:tcBorders>
            <w:vAlign w:val="center"/>
          </w:tcPr>
          <w:p w14:paraId="0A306585">
            <w:pPr>
              <w:pStyle w:val="78"/>
              <w:rPr>
                <w:color w:val="FF0000"/>
              </w:rPr>
            </w:pPr>
            <w:r>
              <w:rPr>
                <w:color w:val="FF0000"/>
              </w:rPr>
              <w:t>10 s</w:t>
            </w:r>
          </w:p>
        </w:tc>
      </w:tr>
      <w:tr w14:paraId="41A8C6FB">
        <w:trPr>
          <w:trHeight w:val="20" w:hRule="atLeast"/>
          <w:jc w:val="center"/>
        </w:trPr>
        <w:tc>
          <w:tcPr>
            <w:tcW w:w="0" w:type="auto"/>
            <w:tcBorders>
              <w:top w:val="double" w:color="A5A5A5" w:sz="4" w:space="0"/>
              <w:left w:val="double" w:color="A5A5A5" w:sz="4" w:space="0"/>
              <w:bottom w:val="double" w:color="A5A5A5" w:sz="4" w:space="0"/>
              <w:right w:val="double" w:color="A5A5A5" w:sz="4" w:space="0"/>
            </w:tcBorders>
            <w:vAlign w:val="center"/>
          </w:tcPr>
          <w:p w14:paraId="0F95B3EB">
            <w:pPr>
              <w:pStyle w:val="78"/>
            </w:pPr>
            <w:r>
              <w:t>Light sleep</w:t>
            </w:r>
          </w:p>
        </w:tc>
        <w:tc>
          <w:tcPr>
            <w:tcW w:w="0" w:type="auto"/>
            <w:tcBorders>
              <w:top w:val="double" w:color="A5A5A5" w:sz="4" w:space="0"/>
              <w:left w:val="double" w:color="A5A5A5" w:sz="4" w:space="0"/>
              <w:bottom w:val="double" w:color="A5A5A5" w:sz="4" w:space="0"/>
              <w:right w:val="double" w:color="A5A5A5" w:sz="4" w:space="0"/>
            </w:tcBorders>
            <w:vAlign w:val="center"/>
          </w:tcPr>
          <w:p w14:paraId="752AD86B">
            <w:pPr>
              <w:pStyle w:val="78"/>
            </w:pPr>
            <w:r>
              <w:t>6 ms</w:t>
            </w:r>
          </w:p>
        </w:tc>
        <w:tc>
          <w:tcPr>
            <w:tcW w:w="0" w:type="auto"/>
            <w:tcBorders>
              <w:top w:val="double" w:color="A5A5A5" w:sz="4" w:space="0"/>
              <w:left w:val="double" w:color="A5A5A5" w:sz="4" w:space="0"/>
              <w:bottom w:val="double" w:color="A5A5A5" w:sz="4" w:space="0"/>
              <w:right w:val="double" w:color="A5A5A5" w:sz="4" w:space="0"/>
            </w:tcBorders>
            <w:vAlign w:val="center"/>
          </w:tcPr>
          <w:p w14:paraId="03031E8B">
            <w:pPr>
              <w:pStyle w:val="78"/>
              <w:rPr>
                <w:color w:val="FF0000"/>
              </w:rPr>
            </w:pPr>
            <w:r>
              <w:rPr>
                <w:color w:val="FF0000"/>
              </w:rPr>
              <w:t>640 ms</w:t>
            </w:r>
          </w:p>
        </w:tc>
      </w:tr>
      <w:tr w14:paraId="6E738FEF">
        <w:trPr>
          <w:trHeight w:val="20" w:hRule="atLeast"/>
          <w:jc w:val="center"/>
        </w:trPr>
        <w:tc>
          <w:tcPr>
            <w:tcW w:w="0" w:type="auto"/>
            <w:tcBorders>
              <w:top w:val="double" w:color="A5A5A5" w:sz="4" w:space="0"/>
              <w:left w:val="double" w:color="A5A5A5" w:sz="4" w:space="0"/>
              <w:bottom w:val="double" w:color="A5A5A5" w:sz="4" w:space="0"/>
              <w:right w:val="double" w:color="A5A5A5" w:sz="4" w:space="0"/>
            </w:tcBorders>
            <w:vAlign w:val="center"/>
          </w:tcPr>
          <w:p w14:paraId="5735760E">
            <w:pPr>
              <w:pStyle w:val="78"/>
              <w:rPr>
                <w:rFonts w:hint="default" w:eastAsiaTheme="minorEastAsia"/>
                <w:lang w:val="en-US" w:eastAsia="zh-CN"/>
              </w:rPr>
            </w:pPr>
            <w:r>
              <w:rPr>
                <w:rFonts w:hint="eastAsia"/>
                <w:lang w:val="en-US" w:eastAsia="zh-CN"/>
              </w:rPr>
              <w:t>Micro sleep</w:t>
            </w:r>
          </w:p>
        </w:tc>
        <w:tc>
          <w:tcPr>
            <w:tcW w:w="0" w:type="auto"/>
            <w:tcBorders>
              <w:top w:val="double" w:color="A5A5A5" w:sz="4" w:space="0"/>
              <w:left w:val="double" w:color="A5A5A5" w:sz="4" w:space="0"/>
              <w:bottom w:val="double" w:color="A5A5A5" w:sz="4" w:space="0"/>
              <w:right w:val="double" w:color="A5A5A5" w:sz="4" w:space="0"/>
            </w:tcBorders>
            <w:vAlign w:val="center"/>
          </w:tcPr>
          <w:p w14:paraId="4D83455D">
            <w:pPr>
              <w:pStyle w:val="78"/>
              <w:rPr>
                <w:rFonts w:hint="default" w:eastAsiaTheme="minorEastAsia"/>
                <w:lang w:val="en-US" w:eastAsia="zh-CN"/>
              </w:rPr>
            </w:pPr>
            <w:r>
              <w:rPr>
                <w:rFonts w:hint="eastAsia"/>
                <w:lang w:val="en-US" w:eastAsia="zh-CN"/>
              </w:rPr>
              <w:t>0ms</w:t>
            </w:r>
          </w:p>
        </w:tc>
        <w:tc>
          <w:tcPr>
            <w:tcW w:w="0" w:type="auto"/>
            <w:tcBorders>
              <w:top w:val="double" w:color="A5A5A5" w:sz="4" w:space="0"/>
              <w:left w:val="double" w:color="A5A5A5" w:sz="4" w:space="0"/>
              <w:bottom w:val="double" w:color="A5A5A5" w:sz="4" w:space="0"/>
              <w:right w:val="double" w:color="A5A5A5" w:sz="4" w:space="0"/>
            </w:tcBorders>
            <w:vAlign w:val="center"/>
          </w:tcPr>
          <w:p w14:paraId="5B7C4C49">
            <w:pPr>
              <w:pStyle w:val="78"/>
              <w:rPr>
                <w:rFonts w:hint="default" w:eastAsiaTheme="minorEastAsia"/>
                <w:color w:val="FF0000"/>
                <w:lang w:val="en-US" w:eastAsia="zh-CN"/>
              </w:rPr>
            </w:pPr>
            <w:r>
              <w:rPr>
                <w:rFonts w:hint="eastAsia"/>
                <w:color w:val="FF0000"/>
                <w:lang w:val="en-US" w:eastAsia="zh-CN"/>
              </w:rPr>
              <w:t>0ms</w:t>
            </w:r>
          </w:p>
        </w:tc>
      </w:tr>
    </w:tbl>
    <w:p w14:paraId="51F1A003">
      <w:pPr>
        <w:pStyle w:val="5"/>
        <w:jc w:val="center"/>
        <w:rPr>
          <w:rFonts w:hint="default" w:ascii="Times New Roman Italic" w:hAnsi="Times New Roman Italic" w:cs="Times New Roman Italic"/>
          <w:i/>
          <w:iCs/>
          <w:lang w:val="en-US"/>
        </w:rPr>
      </w:pPr>
    </w:p>
    <w:p w14:paraId="190AB17F">
      <w:pPr>
        <w:pStyle w:val="5"/>
        <w:jc w:val="center"/>
        <w:rPr>
          <w:rFonts w:hint="default" w:ascii="Times New Roman Italic" w:hAnsi="Times New Roman Italic" w:cs="Times New Roman Italic"/>
          <w:i/>
          <w:iCs/>
          <w:lang w:val="en-US"/>
        </w:rPr>
      </w:pPr>
      <w:r>
        <w:rPr>
          <w:rFonts w:hint="default" w:ascii="Times New Roman Italic" w:hAnsi="Times New Roman Italic" w:cs="Times New Roman Italic"/>
          <w:i/>
          <w:iCs/>
          <w:lang w:val="en-US"/>
        </w:rPr>
        <w:t xml:space="preserve">Table </w:t>
      </w:r>
      <w:r>
        <w:rPr>
          <w:rFonts w:hint="eastAsia" w:ascii="Times New Roman Italic" w:hAnsi="Times New Roman Italic" w:cs="Times New Roman Italic"/>
          <w:i/>
          <w:iCs/>
          <w:lang w:val="en-US" w:eastAsia="zh-CN"/>
        </w:rPr>
        <w:t>5</w:t>
      </w:r>
      <w:r>
        <w:rPr>
          <w:rFonts w:hint="default" w:ascii="Times New Roman Italic" w:hAnsi="Times New Roman Italic" w:cs="Times New Roman Italic"/>
          <w:i/>
          <w:iCs/>
          <w:lang w:val="en-US"/>
        </w:rPr>
        <w:t xml:space="preserve">: </w:t>
      </w:r>
      <w:r>
        <w:rPr>
          <w:rFonts w:hint="eastAsia" w:ascii="Times New Roman Italic" w:hAnsi="Times New Roman Italic" w:cs="Times New Roman Italic"/>
          <w:i/>
          <w:iCs/>
          <w:lang w:val="en-US" w:eastAsia="zh-CN"/>
        </w:rPr>
        <w:t>A</w:t>
      </w:r>
      <w:r>
        <w:rPr>
          <w:rFonts w:hint="default" w:ascii="Times New Roman Italic" w:hAnsi="Times New Roman Italic" w:cs="Times New Roman Italic"/>
          <w:i/>
          <w:iCs/>
          <w:lang w:val="en-US"/>
        </w:rPr>
        <w:t>dditional transition energy E for reference configuration for category 2 or NEW BS category (category 3)</w:t>
      </w:r>
    </w:p>
    <w:tbl>
      <w:tblPr>
        <w:tblStyle w:val="27"/>
        <w:tblW w:w="5242" w:type="dxa"/>
        <w:jc w:val="cente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1810"/>
        <w:gridCol w:w="1716"/>
        <w:gridCol w:w="1716"/>
      </w:tblGrid>
      <w:tr w14:paraId="3685667D">
        <w:trPr>
          <w:trHeight w:val="20" w:hRule="atLeast"/>
          <w:jc w:val="center"/>
        </w:trPr>
        <w:tc>
          <w:tcPr>
            <w:tcW w:w="0" w:type="auto"/>
            <w:tcBorders>
              <w:top w:val="double" w:color="A5A5A5" w:sz="4" w:space="0"/>
              <w:left w:val="double" w:color="A5A5A5" w:sz="4" w:space="0"/>
              <w:bottom w:val="double" w:color="A5A5A5" w:sz="4" w:space="0"/>
              <w:right w:val="double" w:color="A5A5A5" w:sz="4" w:space="0"/>
            </w:tcBorders>
            <w:vAlign w:val="center"/>
          </w:tcPr>
          <w:p w14:paraId="614D2850">
            <w:pPr>
              <w:pStyle w:val="77"/>
            </w:pPr>
            <w:r>
              <w:t>Power state</w:t>
            </w:r>
          </w:p>
        </w:tc>
        <w:tc>
          <w:tcPr>
            <w:tcW w:w="0" w:type="auto"/>
            <w:tcBorders>
              <w:top w:val="double" w:color="A5A5A5" w:sz="4" w:space="0"/>
              <w:left w:val="double" w:color="A5A5A5" w:sz="4" w:space="0"/>
              <w:bottom w:val="double" w:color="A5A5A5" w:sz="4" w:space="0"/>
              <w:right w:val="double" w:color="A5A5A5" w:sz="4" w:space="0"/>
            </w:tcBorders>
            <w:vAlign w:val="center"/>
          </w:tcPr>
          <w:p w14:paraId="5C24C294">
            <w:pPr>
              <w:pStyle w:val="77"/>
              <w:rPr>
                <w:rFonts w:hint="eastAsia" w:eastAsiaTheme="minorEastAsia"/>
                <w:lang w:eastAsia="zh-CN"/>
              </w:rPr>
            </w:pPr>
            <w:r>
              <w:t xml:space="preserve">BS Category </w:t>
            </w:r>
            <w:r>
              <w:rPr>
                <w:rFonts w:hint="eastAsia"/>
                <w:lang w:val="en-US" w:eastAsia="zh-CN"/>
              </w:rPr>
              <w:t>2</w:t>
            </w:r>
          </w:p>
        </w:tc>
        <w:tc>
          <w:tcPr>
            <w:tcW w:w="0" w:type="auto"/>
            <w:tcBorders>
              <w:top w:val="double" w:color="A5A5A5" w:sz="4" w:space="0"/>
              <w:left w:val="double" w:color="A5A5A5" w:sz="4" w:space="0"/>
              <w:bottom w:val="double" w:color="A5A5A5" w:sz="4" w:space="0"/>
              <w:right w:val="double" w:color="A5A5A5" w:sz="4" w:space="0"/>
            </w:tcBorders>
            <w:vAlign w:val="center"/>
          </w:tcPr>
          <w:p w14:paraId="1DA55F0F">
            <w:pPr>
              <w:pStyle w:val="77"/>
              <w:rPr>
                <w:rFonts w:hint="eastAsia" w:eastAsiaTheme="minorEastAsia"/>
                <w:lang w:eastAsia="zh-CN"/>
              </w:rPr>
            </w:pPr>
            <w:r>
              <w:rPr>
                <w:color w:val="FF0000"/>
              </w:rPr>
              <w:t xml:space="preserve">BS Category </w:t>
            </w:r>
            <w:r>
              <w:rPr>
                <w:rFonts w:hint="eastAsia"/>
                <w:color w:val="FF0000"/>
                <w:lang w:val="en-US" w:eastAsia="zh-CN"/>
              </w:rPr>
              <w:t>3</w:t>
            </w:r>
          </w:p>
        </w:tc>
      </w:tr>
      <w:tr w14:paraId="644F93AA">
        <w:trPr>
          <w:trHeight w:val="20" w:hRule="atLeast"/>
          <w:jc w:val="center"/>
        </w:trPr>
        <w:tc>
          <w:tcPr>
            <w:tcW w:w="0" w:type="auto"/>
            <w:tcBorders>
              <w:top w:val="double" w:color="A5A5A5" w:sz="4" w:space="0"/>
              <w:left w:val="double" w:color="A5A5A5" w:sz="4" w:space="0"/>
              <w:bottom w:val="double" w:color="A5A5A5" w:sz="4" w:space="0"/>
              <w:right w:val="double" w:color="A5A5A5" w:sz="4" w:space="0"/>
            </w:tcBorders>
            <w:vAlign w:val="center"/>
          </w:tcPr>
          <w:p w14:paraId="36D4B06E">
            <w:pPr>
              <w:pStyle w:val="78"/>
            </w:pPr>
            <w:r>
              <w:rPr>
                <w:rFonts w:hint="default"/>
                <w:color w:val="FF0000"/>
                <w:lang w:val="en-US"/>
              </w:rPr>
              <w:t>Ultra deep sleep</w:t>
            </w:r>
          </w:p>
        </w:tc>
        <w:tc>
          <w:tcPr>
            <w:tcW w:w="0" w:type="auto"/>
            <w:tcBorders>
              <w:top w:val="double" w:color="A5A5A5" w:sz="4" w:space="0"/>
              <w:left w:val="double" w:color="A5A5A5" w:sz="4" w:space="0"/>
              <w:bottom w:val="double" w:color="A5A5A5" w:sz="4" w:space="0"/>
              <w:right w:val="double" w:color="A5A5A5" w:sz="4" w:space="0"/>
            </w:tcBorders>
            <w:vAlign w:val="center"/>
          </w:tcPr>
          <w:p w14:paraId="2155C2EA">
            <w:pPr>
              <w:pStyle w:val="78"/>
              <w:rPr>
                <w:rFonts w:hint="default" w:eastAsiaTheme="minorEastAsia"/>
                <w:color w:val="FF0000"/>
                <w:lang w:val="en-US" w:eastAsia="zh-CN"/>
              </w:rPr>
            </w:pPr>
            <w:r>
              <w:rPr>
                <w:rFonts w:hint="eastAsia"/>
                <w:color w:val="FF0000"/>
                <w:lang w:val="en-US" w:eastAsia="zh-CN"/>
              </w:rPr>
              <w:t>--</w:t>
            </w:r>
          </w:p>
        </w:tc>
        <w:tc>
          <w:tcPr>
            <w:tcW w:w="0" w:type="auto"/>
            <w:tcBorders>
              <w:top w:val="double" w:color="A5A5A5" w:sz="4" w:space="0"/>
              <w:left w:val="double" w:color="A5A5A5" w:sz="4" w:space="0"/>
              <w:bottom w:val="double" w:color="A5A5A5" w:sz="4" w:space="0"/>
              <w:right w:val="double" w:color="A5A5A5" w:sz="4" w:space="0"/>
            </w:tcBorders>
            <w:vAlign w:val="center"/>
          </w:tcPr>
          <w:p w14:paraId="441FFCD2">
            <w:pPr>
              <w:pStyle w:val="78"/>
              <w:rPr>
                <w:rFonts w:hint="default" w:eastAsiaTheme="minorEastAsia"/>
                <w:color w:val="FF0000"/>
                <w:lang w:val="en-US" w:eastAsia="zh-CN"/>
              </w:rPr>
            </w:pPr>
            <w:r>
              <w:rPr>
                <w:rFonts w:hint="eastAsia"/>
                <w:color w:val="FF0000"/>
                <w:lang w:val="en-US" w:eastAsia="zh-CN"/>
              </w:rPr>
              <w:t>30000</w:t>
            </w:r>
          </w:p>
        </w:tc>
      </w:tr>
      <w:tr w14:paraId="7C1722B7">
        <w:trPr>
          <w:trHeight w:val="20" w:hRule="atLeast"/>
          <w:jc w:val="center"/>
        </w:trPr>
        <w:tc>
          <w:tcPr>
            <w:tcW w:w="0" w:type="auto"/>
            <w:tcBorders>
              <w:top w:val="double" w:color="A5A5A5" w:sz="4" w:space="0"/>
              <w:left w:val="double" w:color="A5A5A5" w:sz="4" w:space="0"/>
              <w:bottom w:val="double" w:color="A5A5A5" w:sz="4" w:space="0"/>
              <w:right w:val="double" w:color="A5A5A5" w:sz="4" w:space="0"/>
            </w:tcBorders>
            <w:vAlign w:val="center"/>
          </w:tcPr>
          <w:p w14:paraId="6446CAFC">
            <w:pPr>
              <w:pStyle w:val="78"/>
            </w:pPr>
            <w:r>
              <w:t>Deep sleep</w:t>
            </w:r>
          </w:p>
        </w:tc>
        <w:tc>
          <w:tcPr>
            <w:tcW w:w="1716" w:type="dxa"/>
            <w:tcBorders>
              <w:top w:val="double" w:color="A5A5A5" w:sz="4" w:space="0"/>
              <w:left w:val="double" w:color="A5A5A5" w:sz="4" w:space="0"/>
              <w:bottom w:val="double" w:color="A5A5A5" w:sz="4" w:space="0"/>
              <w:right w:val="double" w:color="A5A5A5" w:sz="4" w:space="0"/>
            </w:tcBorders>
            <w:vAlign w:val="center"/>
          </w:tcPr>
          <w:p w14:paraId="61680C7F">
            <w:pPr>
              <w:pStyle w:val="78"/>
            </w:pPr>
            <w:r>
              <w:t>17000</w:t>
            </w:r>
          </w:p>
        </w:tc>
        <w:tc>
          <w:tcPr>
            <w:tcW w:w="0" w:type="auto"/>
            <w:tcBorders>
              <w:top w:val="double" w:color="A5A5A5" w:sz="4" w:space="0"/>
              <w:left w:val="double" w:color="A5A5A5" w:sz="4" w:space="0"/>
              <w:bottom w:val="double" w:color="A5A5A5" w:sz="4" w:space="0"/>
              <w:right w:val="double" w:color="A5A5A5" w:sz="4" w:space="0"/>
            </w:tcBorders>
            <w:vAlign w:val="center"/>
          </w:tcPr>
          <w:p w14:paraId="40A4E543">
            <w:pPr>
              <w:pStyle w:val="78"/>
              <w:rPr>
                <w:rFonts w:hint="default" w:eastAsiaTheme="minorEastAsia"/>
                <w:color w:val="FF0000"/>
                <w:lang w:val="en-US" w:eastAsia="zh-CN"/>
              </w:rPr>
            </w:pPr>
            <w:r>
              <w:rPr>
                <w:rFonts w:hint="eastAsia"/>
                <w:color w:val="FF0000"/>
                <w:lang w:val="en-US" w:eastAsia="zh-CN"/>
              </w:rPr>
              <w:t>20000</w:t>
            </w:r>
          </w:p>
        </w:tc>
      </w:tr>
      <w:tr w14:paraId="786404D9">
        <w:trPr>
          <w:trHeight w:val="20" w:hRule="atLeast"/>
          <w:jc w:val="center"/>
        </w:trPr>
        <w:tc>
          <w:tcPr>
            <w:tcW w:w="0" w:type="auto"/>
            <w:tcBorders>
              <w:top w:val="double" w:color="A5A5A5" w:sz="4" w:space="0"/>
              <w:left w:val="double" w:color="A5A5A5" w:sz="4" w:space="0"/>
              <w:bottom w:val="double" w:color="A5A5A5" w:sz="4" w:space="0"/>
              <w:right w:val="double" w:color="A5A5A5" w:sz="4" w:space="0"/>
            </w:tcBorders>
            <w:vAlign w:val="center"/>
          </w:tcPr>
          <w:p w14:paraId="641C2D49">
            <w:pPr>
              <w:pStyle w:val="78"/>
            </w:pPr>
            <w:r>
              <w:t>Light sleep</w:t>
            </w:r>
          </w:p>
        </w:tc>
        <w:tc>
          <w:tcPr>
            <w:tcW w:w="1716" w:type="dxa"/>
            <w:tcBorders>
              <w:top w:val="double" w:color="A5A5A5" w:sz="4" w:space="0"/>
              <w:left w:val="double" w:color="A5A5A5" w:sz="4" w:space="0"/>
              <w:bottom w:val="double" w:color="A5A5A5" w:sz="4" w:space="0"/>
              <w:right w:val="double" w:color="A5A5A5" w:sz="4" w:space="0"/>
            </w:tcBorders>
            <w:vAlign w:val="center"/>
          </w:tcPr>
          <w:p w14:paraId="77E5B2BD">
            <w:pPr>
              <w:pStyle w:val="78"/>
            </w:pPr>
            <w:r>
              <w:t>1088</w:t>
            </w:r>
          </w:p>
        </w:tc>
        <w:tc>
          <w:tcPr>
            <w:tcW w:w="0" w:type="auto"/>
            <w:tcBorders>
              <w:top w:val="double" w:color="A5A5A5" w:sz="4" w:space="0"/>
              <w:left w:val="double" w:color="A5A5A5" w:sz="4" w:space="0"/>
              <w:bottom w:val="double" w:color="A5A5A5" w:sz="4" w:space="0"/>
              <w:right w:val="double" w:color="A5A5A5" w:sz="4" w:space="0"/>
            </w:tcBorders>
            <w:vAlign w:val="center"/>
          </w:tcPr>
          <w:p w14:paraId="1FB2A01C">
            <w:pPr>
              <w:pStyle w:val="78"/>
              <w:rPr>
                <w:rFonts w:hint="default" w:eastAsiaTheme="minorEastAsia"/>
                <w:color w:val="FF0000"/>
                <w:lang w:val="en-US" w:eastAsia="zh-CN"/>
              </w:rPr>
            </w:pPr>
            <w:r>
              <w:rPr>
                <w:rFonts w:hint="eastAsia"/>
                <w:color w:val="FF0000"/>
                <w:lang w:val="en-US" w:eastAsia="zh-CN"/>
              </w:rPr>
              <w:t>2000</w:t>
            </w:r>
          </w:p>
        </w:tc>
      </w:tr>
    </w:tbl>
    <w:p w14:paraId="51750CFB">
      <w:pPr>
        <w:pStyle w:val="5"/>
        <w:jc w:val="both"/>
        <w:rPr>
          <w:rFonts w:hint="default"/>
          <w:lang w:val="en-US"/>
        </w:rPr>
      </w:pPr>
    </w:p>
    <w:bookmarkEnd w:id="11"/>
    <w:p w14:paraId="781B5B79">
      <w:pPr>
        <w:pStyle w:val="4"/>
        <w:numPr>
          <w:ilvl w:val="2"/>
          <w:numId w:val="0"/>
        </w:numPr>
        <w:tabs>
          <w:tab w:val="clear" w:pos="432"/>
          <w:tab w:val="clear" w:pos="720"/>
        </w:tabs>
        <w:ind w:leftChars="0"/>
      </w:pPr>
      <w:bookmarkStart w:id="12" w:name="Xb771f6f45b84a06d9a9909f9ff5869d59017b06"/>
      <w:r>
        <w:rPr>
          <w:rFonts w:hint="default"/>
          <w:lang w:val="en-US" w:eastAsia="zh-CN"/>
        </w:rPr>
        <w:t>4</w:t>
      </w:r>
      <w:r>
        <w:rPr>
          <w:rFonts w:hint="eastAsia"/>
          <w:lang w:val="en-US" w:eastAsia="zh-CN"/>
        </w:rPr>
        <w:t>.1.3</w:t>
      </w:r>
      <w:r>
        <w:t xml:space="preserve"> Enhancements for 6G BS power modeling</w:t>
      </w:r>
    </w:p>
    <w:p w14:paraId="7FE1A481">
      <w:pPr>
        <w:pStyle w:val="5"/>
        <w:rPr>
          <w:sz w:val="22"/>
          <w:szCs w:val="22"/>
        </w:rPr>
      </w:pPr>
      <w:r>
        <w:rPr>
          <w:rFonts w:hint="eastAsia"/>
          <w:sz w:val="22"/>
          <w:szCs w:val="22"/>
          <w:lang w:val="en-US" w:eastAsia="zh-CN"/>
        </w:rPr>
        <w:t>As</w:t>
      </w:r>
      <w:r>
        <w:rPr>
          <w:rFonts w:hint="default"/>
          <w:sz w:val="22"/>
          <w:szCs w:val="22"/>
          <w:lang w:val="en-US" w:eastAsia="zh-CN"/>
        </w:rPr>
        <w:t xml:space="preserve"> we know</w:t>
      </w:r>
      <w:r>
        <w:rPr>
          <w:sz w:val="22"/>
          <w:szCs w:val="22"/>
        </w:rPr>
        <w:t xml:space="preserve">, the 5G model introduces scaling laws to account for partial resource usage in time, frequency, spatial domain, and transmit power domain. Specifically, within an active period (e.g. a 1 ms TDD slot in NR), the active power can scale down proportionally with the fraction of OFDM symbols occupied, the fraction of system bandwidth used, the fraction of active </w:t>
      </w:r>
      <w:r>
        <w:rPr>
          <w:rFonts w:hint="default"/>
          <w:sz w:val="22"/>
          <w:szCs w:val="22"/>
          <w:lang w:val="en-US"/>
        </w:rPr>
        <w:t>RUs</w:t>
      </w:r>
      <w:r>
        <w:rPr>
          <w:sz w:val="22"/>
          <w:szCs w:val="22"/>
        </w:rPr>
        <w:t xml:space="preserve"> enabled, and the relative transmit power used. This allows modeling how adaptive resource management (e.g. shutting off some antennas or symbols during low traffic) reduces consumption. </w:t>
      </w:r>
    </w:p>
    <w:p w14:paraId="3AF940EC">
      <w:pPr>
        <w:pStyle w:val="5"/>
        <w:rPr>
          <w:sz w:val="22"/>
          <w:szCs w:val="22"/>
        </w:rPr>
      </w:pPr>
      <w:r>
        <w:rPr>
          <w:sz w:val="22"/>
          <w:szCs w:val="22"/>
        </w:rPr>
        <w:t>In formula form, we can express the instantaneous downlink power draw of a BS in active state as a product of these utilization factors</w:t>
      </w:r>
      <w:r>
        <w:rPr>
          <w:rFonts w:hint="default"/>
          <w:sz w:val="22"/>
          <w:szCs w:val="22"/>
          <w:lang w:val="en-US"/>
        </w:rPr>
        <w:t xml:space="preserve"> like TR 38.864 (</w:t>
      </w:r>
      <m:oMath>
        <m:sSup>
          <m:sSupPr>
            <m:ctrlPr>
              <w:rPr>
                <w:rFonts w:ascii="Cambria Math" w:hAnsi="Cambria Math"/>
                <w:i/>
                <w:snapToGrid w:val="0"/>
                <w:sz w:val="22"/>
                <w:szCs w:val="22"/>
              </w:rPr>
            </m:ctrlPr>
          </m:sSupPr>
          <m:e>
            <m:r>
              <m:rPr/>
              <w:rPr>
                <w:rFonts w:ascii="Cambria Math" w:hAnsi="Cambria Math"/>
                <w:sz w:val="22"/>
                <w:szCs w:val="22"/>
                <w:lang w:eastAsia="zh-CN"/>
              </w:rPr>
              <m:t>P</m:t>
            </m:r>
            <m:ctrlPr>
              <w:rPr>
                <w:rFonts w:ascii="Cambria Math" w:hAnsi="Cambria Math"/>
                <w:i/>
                <w:snapToGrid w:val="0"/>
                <w:sz w:val="22"/>
                <w:szCs w:val="22"/>
              </w:rPr>
            </m:ctrlPr>
          </m:e>
          <m:sup>
            <m:r>
              <m:rPr/>
              <w:rPr>
                <w:rFonts w:ascii="Cambria Math" w:hAnsi="Cambria Math"/>
                <w:sz w:val="22"/>
                <w:szCs w:val="22"/>
              </w:rPr>
              <m:t>DL</m:t>
            </m:r>
            <m:ctrlPr>
              <w:rPr>
                <w:rFonts w:ascii="Cambria Math" w:hAnsi="Cambria Math"/>
                <w:i/>
                <w:snapToGrid w:val="0"/>
                <w:sz w:val="22"/>
                <w:szCs w:val="22"/>
              </w:rPr>
            </m:ctrlPr>
          </m:sup>
        </m:sSup>
        <m:r>
          <m:rPr/>
          <w:rPr>
            <w:rFonts w:ascii="Cambria Math" w:hAnsi="Cambria Math"/>
            <w:sz w:val="22"/>
            <w:szCs w:val="22"/>
            <w:lang w:eastAsia="zh-CN"/>
          </w:rPr>
          <m:t>=</m:t>
        </m:r>
        <m:sSubSup>
          <m:sSubSupPr>
            <m:ctrlPr>
              <w:rPr>
                <w:rFonts w:ascii="Cambria Math" w:hAnsi="Cambria Math"/>
                <w:i/>
                <w:sz w:val="22"/>
                <w:szCs w:val="22"/>
              </w:rPr>
            </m:ctrlPr>
          </m:sSubSupPr>
          <m:e>
            <m:r>
              <m:rPr/>
              <w:rPr>
                <w:rFonts w:ascii="Cambria Math" w:hAnsi="Cambria Math"/>
                <w:sz w:val="22"/>
                <w:szCs w:val="22"/>
                <w:lang w:eastAsia="zh-CN"/>
              </w:rPr>
              <m:t>P</m:t>
            </m:r>
            <m:ctrlPr>
              <w:rPr>
                <w:rFonts w:ascii="Cambria Math" w:hAnsi="Cambria Math"/>
                <w:i/>
                <w:sz w:val="22"/>
                <w:szCs w:val="22"/>
              </w:rPr>
            </m:ctrlPr>
          </m:e>
          <m:sub>
            <m:r>
              <m:rPr/>
              <w:rPr>
                <w:rFonts w:ascii="Cambria Math" w:hAnsi="Cambria Math"/>
                <w:sz w:val="22"/>
                <w:szCs w:val="22"/>
              </w:rPr>
              <m:t>static</m:t>
            </m:r>
            <m:ctrlPr>
              <w:rPr>
                <w:rFonts w:ascii="Cambria Math" w:hAnsi="Cambria Math"/>
                <w:i/>
                <w:sz w:val="22"/>
                <w:szCs w:val="22"/>
              </w:rPr>
            </m:ctrlPr>
          </m:sub>
          <m:sup>
            <m:r>
              <m:rPr/>
              <w:rPr>
                <w:rFonts w:ascii="Cambria Math" w:hAnsi="Cambria Math"/>
                <w:sz w:val="22"/>
                <w:szCs w:val="22"/>
                <w:lang w:eastAsia="zh-CN"/>
              </w:rPr>
              <m:t>DL</m:t>
            </m:r>
            <m:ctrlPr>
              <w:rPr>
                <w:rFonts w:ascii="Cambria Math" w:hAnsi="Cambria Math"/>
                <w:i/>
                <w:sz w:val="22"/>
                <w:szCs w:val="22"/>
              </w:rPr>
            </m:ctrlPr>
          </m:sup>
        </m:sSubSup>
        <m:r>
          <m:rPr/>
          <w:rPr>
            <w:rFonts w:ascii="Cambria Math" w:hAnsi="Cambria Math"/>
            <w:sz w:val="22"/>
            <w:szCs w:val="22"/>
            <w:lang w:eastAsia="zh-CN"/>
          </w:rPr>
          <m:t>+</m:t>
        </m:r>
        <m:sSubSup>
          <m:sSubSupPr>
            <m:ctrlPr>
              <w:rPr>
                <w:rFonts w:ascii="Cambria Math" w:hAnsi="Cambria Math"/>
                <w:i/>
                <w:sz w:val="22"/>
                <w:szCs w:val="22"/>
              </w:rPr>
            </m:ctrlPr>
          </m:sSubSupPr>
          <m:e>
            <m:r>
              <m:rPr/>
              <w:rPr>
                <w:rFonts w:ascii="Cambria Math" w:hAnsi="Cambria Math"/>
                <w:sz w:val="22"/>
                <w:szCs w:val="22"/>
                <w:lang w:eastAsia="zh-CN"/>
              </w:rPr>
              <m:t>P</m:t>
            </m:r>
            <m:ctrlPr>
              <w:rPr>
                <w:rFonts w:ascii="Cambria Math" w:hAnsi="Cambria Math"/>
                <w:i/>
                <w:sz w:val="22"/>
                <w:szCs w:val="22"/>
              </w:rPr>
            </m:ctrlPr>
          </m:e>
          <m:sub>
            <m:r>
              <m:rPr/>
              <w:rPr>
                <w:rFonts w:ascii="Cambria Math" w:hAnsi="Cambria Math"/>
                <w:sz w:val="22"/>
                <w:szCs w:val="22"/>
                <w:lang w:eastAsia="zh-CN"/>
              </w:rPr>
              <m:t>dynamic</m:t>
            </m:r>
            <m:ctrlPr>
              <w:rPr>
                <w:rFonts w:ascii="Cambria Math" w:hAnsi="Cambria Math"/>
                <w:i/>
                <w:sz w:val="22"/>
                <w:szCs w:val="22"/>
              </w:rPr>
            </m:ctrlPr>
          </m:sub>
          <m:sup>
            <m:r>
              <m:rPr/>
              <w:rPr>
                <w:rFonts w:ascii="Cambria Math" w:hAnsi="Cambria Math"/>
                <w:sz w:val="22"/>
                <w:szCs w:val="22"/>
                <w:lang w:eastAsia="zh-CN"/>
              </w:rPr>
              <m:t>DL</m:t>
            </m:r>
            <m:ctrlPr>
              <w:rPr>
                <w:rFonts w:ascii="Cambria Math" w:hAnsi="Cambria Math"/>
                <w:i/>
                <w:sz w:val="22"/>
                <w:szCs w:val="22"/>
              </w:rPr>
            </m:ctrlPr>
          </m:sup>
        </m:sSubSup>
      </m:oMath>
      <w:r>
        <w:rPr>
          <w:rFonts w:hint="default"/>
          <w:sz w:val="22"/>
          <w:szCs w:val="22"/>
          <w:lang w:val="en-US"/>
        </w:rPr>
        <w:t>)</w:t>
      </w:r>
      <w:r>
        <w:rPr>
          <w:sz w:val="22"/>
          <w:szCs w:val="22"/>
        </w:rPr>
        <w:t xml:space="preserve">. For example, let </w:t>
      </w:r>
      <m:oMath>
        <m:sSub>
          <m:sSubPr>
            <m:ctrlPr>
              <w:rPr>
                <w:rFonts w:ascii="Cambria Math" w:hAnsi="Cambria Math"/>
                <w:sz w:val="22"/>
                <w:szCs w:val="22"/>
              </w:rPr>
            </m:ctrlPr>
          </m:sSubPr>
          <m:e>
            <m:r>
              <m:rPr/>
              <w:rPr>
                <w:rFonts w:ascii="Cambria Math" w:hAnsi="Cambria Math"/>
                <w:sz w:val="22"/>
                <w:szCs w:val="22"/>
              </w:rPr>
              <m:t>P</m:t>
            </m:r>
            <m:ctrlPr>
              <w:rPr>
                <w:rFonts w:ascii="Cambria Math" w:hAnsi="Cambria Math"/>
                <w:sz w:val="22"/>
                <w:szCs w:val="22"/>
              </w:rPr>
            </m:ctrlPr>
          </m:e>
          <m:sub>
            <m:r>
              <m:rPr/>
              <w:rPr>
                <w:rFonts w:ascii="Cambria Math" w:hAnsi="Cambria Math"/>
                <w:sz w:val="22"/>
                <w:szCs w:val="22"/>
              </w:rPr>
              <m:t>BS,DL(full)</m:t>
            </m:r>
            <m:ctrlPr>
              <w:rPr>
                <w:rFonts w:ascii="Cambria Math" w:hAnsi="Cambria Math"/>
                <w:sz w:val="22"/>
                <w:szCs w:val="22"/>
              </w:rPr>
            </m:ctrlPr>
          </m:sub>
        </m:sSub>
      </m:oMath>
      <w:r>
        <w:rPr>
          <w:sz w:val="22"/>
          <w:szCs w:val="22"/>
        </w:rPr>
        <w:t xml:space="preserve"> be the power consumption of the BS in active downlink state when fully loaded (all symbols, full bandwidth, all antennas at maximum power), and </w:t>
      </w:r>
      <m:oMath>
        <m:sSub>
          <m:sSubPr>
            <m:ctrlPr>
              <w:rPr>
                <w:rFonts w:ascii="Cambria Math" w:hAnsi="Cambria Math"/>
                <w:sz w:val="22"/>
                <w:szCs w:val="22"/>
              </w:rPr>
            </m:ctrlPr>
          </m:sSubPr>
          <m:e>
            <m:r>
              <m:rPr/>
              <w:rPr>
                <w:rFonts w:ascii="Cambria Math" w:hAnsi="Cambria Math"/>
                <w:sz w:val="22"/>
                <w:szCs w:val="22"/>
              </w:rPr>
              <m:t>P</m:t>
            </m:r>
            <m:ctrlPr>
              <w:rPr>
                <w:rFonts w:ascii="Cambria Math" w:hAnsi="Cambria Math"/>
                <w:sz w:val="22"/>
                <w:szCs w:val="22"/>
              </w:rPr>
            </m:ctrlPr>
          </m:e>
          <m:sub>
            <m:r>
              <m:rPr/>
              <w:rPr>
                <w:rFonts w:ascii="Cambria Math" w:hAnsi="Cambria Math"/>
                <w:sz w:val="22"/>
                <w:szCs w:val="22"/>
              </w:rPr>
              <m:t>BS,deep</m:t>
            </m:r>
            <m:ctrlPr>
              <w:rPr>
                <w:rFonts w:ascii="Cambria Math" w:hAnsi="Cambria Math"/>
                <w:sz w:val="22"/>
                <w:szCs w:val="22"/>
              </w:rPr>
            </m:ctrlPr>
          </m:sub>
        </m:sSub>
      </m:oMath>
      <w:r>
        <w:rPr>
          <w:sz w:val="22"/>
          <w:szCs w:val="22"/>
        </w:rPr>
        <w:t xml:space="preserve"> be the baseline power in deep sleep. </w:t>
      </w:r>
    </w:p>
    <w:p w14:paraId="117ED175">
      <w:pPr>
        <w:pStyle w:val="49"/>
        <w:rPr>
          <w:sz w:val="22"/>
          <w:szCs w:val="22"/>
          <w:lang w:eastAsia="ko-KR"/>
        </w:rPr>
      </w:pPr>
      <w:r>
        <w:rPr>
          <w:sz w:val="22"/>
          <w:szCs w:val="22"/>
          <w:lang w:eastAsia="zh-CN"/>
        </w:rPr>
        <w:t>-</w:t>
      </w:r>
      <w:r>
        <w:rPr>
          <w:sz w:val="22"/>
          <w:szCs w:val="22"/>
          <w:lang w:eastAsia="zh-CN"/>
        </w:rPr>
        <w:tab/>
      </w:r>
      <w:r>
        <w:rPr>
          <w:sz w:val="22"/>
          <w:szCs w:val="22"/>
          <w:lang w:eastAsia="zh-CN"/>
        </w:rPr>
        <w:t xml:space="preserve">Baseline: </w:t>
      </w:r>
      <m:oMath>
        <m:sSub>
          <m:sSubPr>
            <m:ctrlPr>
              <w:rPr>
                <w:rFonts w:ascii="Cambria Math" w:hAnsi="Cambria Math"/>
                <w:sz w:val="22"/>
                <w:szCs w:val="22"/>
              </w:rPr>
            </m:ctrlPr>
          </m:sSubPr>
          <m:e>
            <m:r>
              <m:rPr/>
              <w:rPr>
                <w:rFonts w:ascii="Cambria Math" w:hAnsi="Cambria Math"/>
                <w:sz w:val="22"/>
                <w:szCs w:val="22"/>
              </w:rPr>
              <m:t>P</m:t>
            </m:r>
            <m:ctrlPr>
              <w:rPr>
                <w:rFonts w:ascii="Cambria Math" w:hAnsi="Cambria Math"/>
                <w:sz w:val="22"/>
                <w:szCs w:val="22"/>
              </w:rPr>
            </m:ctrlPr>
          </m:e>
          <m:sub>
            <m:r>
              <m:rPr/>
              <w:rPr>
                <w:rFonts w:ascii="Cambria Math" w:hAnsi="Cambria Math"/>
                <w:sz w:val="22"/>
                <w:szCs w:val="22"/>
              </w:rPr>
              <m:t>BS,deep</m:t>
            </m:r>
            <m:ctrlPr>
              <w:rPr>
                <w:rFonts w:ascii="Cambria Math" w:hAnsi="Cambria Math"/>
                <w:sz w:val="22"/>
                <w:szCs w:val="22"/>
              </w:rPr>
            </m:ctrlPr>
          </m:sub>
        </m:sSub>
        <m:r>
          <m:rPr>
            <m:sty m:val="p"/>
          </m:rPr>
          <w:rPr>
            <w:rFonts w:ascii="Cambria Math" w:hAnsi="Cambria Math"/>
            <w:sz w:val="22"/>
            <w:szCs w:val="22"/>
            <w:lang w:eastAsia="zh-CN"/>
          </w:rPr>
          <m:t>=</m:t>
        </m:r>
        <m:sSub>
          <m:sSubPr>
            <m:ctrlPr>
              <w:rPr>
                <w:rFonts w:ascii="Cambria Math" w:hAnsi="Cambria Math"/>
                <w:sz w:val="22"/>
                <w:szCs w:val="22"/>
              </w:rPr>
            </m:ctrlPr>
          </m:sSubPr>
          <m:e>
            <m:r>
              <m:rPr/>
              <w:rPr>
                <w:rFonts w:ascii="Cambria Math" w:hAnsi="Cambria Math"/>
                <w:sz w:val="22"/>
                <w:szCs w:val="22"/>
                <w:lang w:eastAsia="zh-CN"/>
              </w:rPr>
              <m:t>P</m:t>
            </m:r>
            <m:ctrlPr>
              <w:rPr>
                <w:rFonts w:ascii="Cambria Math" w:hAnsi="Cambria Math"/>
                <w:sz w:val="22"/>
                <w:szCs w:val="22"/>
              </w:rPr>
            </m:ctrlPr>
          </m:e>
          <m:sub>
            <m:r>
              <m:rPr>
                <m:sty m:val="p"/>
              </m:rPr>
              <w:rPr>
                <w:rFonts w:ascii="Cambria Math" w:hAnsi="Cambria Math"/>
                <w:sz w:val="22"/>
                <w:szCs w:val="22"/>
                <w:lang w:eastAsia="zh-CN"/>
              </w:rPr>
              <m:t>3</m:t>
            </m:r>
            <m:ctrlPr>
              <w:rPr>
                <w:rFonts w:ascii="Cambria Math" w:hAnsi="Cambria Math"/>
                <w:sz w:val="22"/>
                <w:szCs w:val="22"/>
              </w:rPr>
            </m:ctrlPr>
          </m:sub>
        </m:sSub>
      </m:oMath>
    </w:p>
    <w:p w14:paraId="26078524">
      <w:pPr>
        <w:pStyle w:val="49"/>
        <w:rPr>
          <w:sz w:val="22"/>
          <w:szCs w:val="22"/>
        </w:rPr>
      </w:pPr>
      <w:r>
        <w:rPr>
          <w:sz w:val="22"/>
          <w:szCs w:val="22"/>
          <w:lang w:eastAsia="zh-CN"/>
        </w:rPr>
        <w:t>-</w:t>
      </w:r>
      <w:r>
        <w:rPr>
          <w:sz w:val="22"/>
          <w:szCs w:val="22"/>
          <w:lang w:eastAsia="zh-CN"/>
        </w:rPr>
        <w:tab/>
      </w:r>
      <w:r>
        <w:rPr>
          <w:sz w:val="22"/>
          <w:szCs w:val="22"/>
          <w:lang w:eastAsia="zh-CN"/>
        </w:rPr>
        <w:t xml:space="preserve">Optional: </w:t>
      </w:r>
      <m:oMath>
        <m:sSub>
          <m:sSubPr>
            <m:ctrlPr>
              <w:rPr>
                <w:rFonts w:ascii="Cambria Math" w:hAnsi="Cambria Math"/>
                <w:sz w:val="22"/>
                <w:szCs w:val="22"/>
              </w:rPr>
            </m:ctrlPr>
          </m:sSubPr>
          <m:e>
            <m:r>
              <m:rPr/>
              <w:rPr>
                <w:rFonts w:ascii="Cambria Math" w:hAnsi="Cambria Math"/>
                <w:sz w:val="22"/>
                <w:szCs w:val="22"/>
              </w:rPr>
              <m:t>P</m:t>
            </m:r>
            <m:ctrlPr>
              <w:rPr>
                <w:rFonts w:ascii="Cambria Math" w:hAnsi="Cambria Math"/>
                <w:sz w:val="22"/>
                <w:szCs w:val="22"/>
              </w:rPr>
            </m:ctrlPr>
          </m:e>
          <m:sub>
            <m:r>
              <m:rPr/>
              <w:rPr>
                <w:rFonts w:ascii="Cambria Math" w:hAnsi="Cambria Math"/>
                <w:sz w:val="22"/>
                <w:szCs w:val="22"/>
              </w:rPr>
              <m:t>BS,deep</m:t>
            </m:r>
            <m:ctrlPr>
              <w:rPr>
                <w:rFonts w:ascii="Cambria Math" w:hAnsi="Cambria Math"/>
                <w:sz w:val="22"/>
                <w:szCs w:val="22"/>
              </w:rPr>
            </m:ctrlPr>
          </m:sub>
        </m:sSub>
        <m:r>
          <m:rPr>
            <m:sty m:val="p"/>
          </m:rPr>
          <w:rPr>
            <w:rFonts w:ascii="Cambria Math" w:hAnsi="Cambria Math"/>
            <w:sz w:val="22"/>
            <w:szCs w:val="22"/>
            <w:lang w:eastAsia="zh-CN"/>
          </w:rPr>
          <m:t>=</m:t>
        </m:r>
        <m:r>
          <m:rPr>
            <m:sty m:val="p"/>
          </m:rPr>
          <w:rPr>
            <w:rFonts w:hint="default" w:ascii="DejaVu Math TeX Gyre" w:hAnsi="DejaVu Math TeX Gyre"/>
            <w:color w:val="FF0000"/>
            <w:sz w:val="22"/>
            <w:szCs w:val="22"/>
            <w:lang w:val="en-US" w:eastAsia="zh-CN"/>
          </w:rPr>
          <m:t>[</m:t>
        </m:r>
        <m:r>
          <m:rPr>
            <m:sty m:val="p"/>
          </m:rPr>
          <w:rPr>
            <w:rFonts w:ascii="Cambria Math" w:hAnsi="Cambria Math"/>
            <w:color w:val="FF0000"/>
            <w:sz w:val="22"/>
            <w:szCs w:val="22"/>
            <w:lang w:eastAsia="zh-CN"/>
          </w:rPr>
          <m:t>1.5</m:t>
        </m:r>
        <m:r>
          <m:rPr>
            <m:sty m:val="p"/>
          </m:rPr>
          <w:rPr>
            <w:rFonts w:hint="default" w:ascii="DejaVu Math TeX Gyre" w:hAnsi="DejaVu Math TeX Gyre"/>
            <w:color w:val="FF0000"/>
            <w:sz w:val="22"/>
            <w:szCs w:val="22"/>
            <w:lang w:val="en-US" w:eastAsia="zh-CN"/>
          </w:rPr>
          <m:t>]</m:t>
        </m:r>
        <m:r>
          <m:rPr>
            <m:sty m:val="p"/>
          </m:rPr>
          <w:rPr>
            <w:rFonts w:ascii="Cambria Math" w:hAnsi="Cambria Math"/>
            <w:sz w:val="22"/>
            <w:szCs w:val="22"/>
            <w:lang w:eastAsia="zh-CN"/>
          </w:rPr>
          <m:t>∗</m:t>
        </m:r>
        <m:sSub>
          <m:sSubPr>
            <m:ctrlPr>
              <w:rPr>
                <w:rFonts w:ascii="Cambria Math" w:hAnsi="Cambria Math"/>
                <w:sz w:val="22"/>
                <w:szCs w:val="22"/>
              </w:rPr>
            </m:ctrlPr>
          </m:sSubPr>
          <m:e>
            <m:r>
              <m:rPr/>
              <w:rPr>
                <w:rFonts w:ascii="Cambria Math" w:hAnsi="Cambria Math"/>
                <w:sz w:val="22"/>
                <w:szCs w:val="22"/>
                <w:lang w:eastAsia="zh-CN"/>
              </w:rPr>
              <m:t>P</m:t>
            </m:r>
            <m:ctrlPr>
              <w:rPr>
                <w:rFonts w:ascii="Cambria Math" w:hAnsi="Cambria Math"/>
                <w:sz w:val="22"/>
                <w:szCs w:val="22"/>
              </w:rPr>
            </m:ctrlPr>
          </m:e>
          <m:sub>
            <m:r>
              <m:rPr>
                <m:sty m:val="p"/>
              </m:rPr>
              <w:rPr>
                <w:rFonts w:ascii="Cambria Math" w:hAnsi="Cambria Math"/>
                <w:sz w:val="22"/>
                <w:szCs w:val="22"/>
                <w:lang w:eastAsia="zh-CN"/>
              </w:rPr>
              <m:t>3</m:t>
            </m:r>
            <m:ctrlPr>
              <w:rPr>
                <w:rFonts w:ascii="Cambria Math" w:hAnsi="Cambria Math"/>
                <w:sz w:val="22"/>
                <w:szCs w:val="22"/>
              </w:rPr>
            </m:ctrlPr>
          </m:sub>
        </m:sSub>
      </m:oMath>
    </w:p>
    <w:p w14:paraId="07FE8516">
      <w:pPr>
        <w:pStyle w:val="5"/>
        <w:rPr>
          <w:sz w:val="22"/>
          <w:szCs w:val="22"/>
          <w:lang w:eastAsia="zh-CN"/>
        </w:rPr>
      </w:pPr>
      <w:r>
        <w:rPr>
          <w:sz w:val="22"/>
          <w:szCs w:val="22"/>
        </w:rPr>
        <w:t xml:space="preserve">If in a given slot a fraction </w:t>
      </w:r>
      <m:oMath>
        <m:sSub>
          <m:sSubPr>
            <m:ctrlPr>
              <w:rPr>
                <w:rFonts w:ascii="Cambria Math" w:hAnsi="Cambria Math"/>
                <w:sz w:val="22"/>
                <w:szCs w:val="22"/>
              </w:rPr>
            </m:ctrlPr>
          </m:sSubPr>
          <m:e>
            <m:r>
              <m:rPr/>
              <w:rPr>
                <w:rFonts w:ascii="Cambria Math" w:hAnsi="Cambria Math"/>
                <w:sz w:val="22"/>
                <w:szCs w:val="22"/>
              </w:rPr>
              <m:t>α</m:t>
            </m:r>
            <m:ctrlPr>
              <w:rPr>
                <w:rFonts w:ascii="Cambria Math" w:hAnsi="Cambria Math"/>
                <w:sz w:val="22"/>
                <w:szCs w:val="22"/>
              </w:rPr>
            </m:ctrlPr>
          </m:e>
          <m:sub>
            <m:r>
              <m:rPr/>
              <w:rPr>
                <w:rFonts w:ascii="Cambria Math" w:hAnsi="Cambria Math"/>
                <w:sz w:val="22"/>
                <w:szCs w:val="22"/>
              </w:rPr>
              <m:t>t</m:t>
            </m:r>
            <m:ctrlPr>
              <w:rPr>
                <w:rFonts w:ascii="Cambria Math" w:hAnsi="Cambria Math"/>
                <w:sz w:val="22"/>
                <w:szCs w:val="22"/>
              </w:rPr>
            </m:ctrlPr>
          </m:sub>
        </m:sSub>
      </m:oMath>
      <w:r>
        <w:rPr>
          <w:sz w:val="22"/>
          <w:szCs w:val="22"/>
        </w:rPr>
        <w:t xml:space="preserve"> of the symbols are used, a fraction </w:t>
      </w:r>
      <m:oMath>
        <m:sSub>
          <m:sSubPr>
            <m:ctrlPr>
              <w:rPr>
                <w:rFonts w:ascii="Cambria Math" w:hAnsi="Cambria Math"/>
                <w:sz w:val="22"/>
                <w:szCs w:val="22"/>
              </w:rPr>
            </m:ctrlPr>
          </m:sSubPr>
          <m:e>
            <m:r>
              <m:rPr/>
              <w:rPr>
                <w:rFonts w:ascii="Cambria Math" w:hAnsi="Cambria Math"/>
                <w:sz w:val="22"/>
                <w:szCs w:val="22"/>
              </w:rPr>
              <m:t>α</m:t>
            </m:r>
            <m:ctrlPr>
              <w:rPr>
                <w:rFonts w:ascii="Cambria Math" w:hAnsi="Cambria Math"/>
                <w:sz w:val="22"/>
                <w:szCs w:val="22"/>
              </w:rPr>
            </m:ctrlPr>
          </m:e>
          <m:sub>
            <m:r>
              <m:rPr/>
              <w:rPr>
                <w:rFonts w:ascii="Cambria Math" w:hAnsi="Cambria Math"/>
                <w:sz w:val="22"/>
                <w:szCs w:val="22"/>
              </w:rPr>
              <m:t>f</m:t>
            </m:r>
            <m:ctrlPr>
              <w:rPr>
                <w:rFonts w:ascii="Cambria Math" w:hAnsi="Cambria Math"/>
                <w:sz w:val="22"/>
                <w:szCs w:val="22"/>
              </w:rPr>
            </m:ctrlPr>
          </m:sub>
        </m:sSub>
      </m:oMath>
      <w:r>
        <w:rPr>
          <w:sz w:val="22"/>
          <w:szCs w:val="22"/>
        </w:rPr>
        <w:t xml:space="preserve"> of the channel bandwidth is occupied, </w:t>
      </w:r>
      <m:oMath>
        <m:sSub>
          <m:sSubPr>
            <m:ctrlPr>
              <w:rPr>
                <w:rFonts w:ascii="Cambria Math" w:hAnsi="Cambria Math"/>
                <w:sz w:val="22"/>
                <w:szCs w:val="22"/>
              </w:rPr>
            </m:ctrlPr>
          </m:sSubPr>
          <m:e>
            <m:r>
              <m:rPr/>
              <w:rPr>
                <w:rFonts w:ascii="Cambria Math" w:hAnsi="Cambria Math"/>
                <w:sz w:val="22"/>
                <w:szCs w:val="22"/>
              </w:rPr>
              <m:t>α</m:t>
            </m:r>
            <m:ctrlPr>
              <w:rPr>
                <w:rFonts w:ascii="Cambria Math" w:hAnsi="Cambria Math"/>
                <w:sz w:val="22"/>
                <w:szCs w:val="22"/>
              </w:rPr>
            </m:ctrlPr>
          </m:e>
          <m:sub>
            <m:r>
              <m:rPr/>
              <w:rPr>
                <w:rFonts w:ascii="Cambria Math" w:hAnsi="Cambria Math"/>
                <w:sz w:val="22"/>
                <w:szCs w:val="22"/>
              </w:rPr>
              <m:t>a</m:t>
            </m:r>
            <m:ctrlPr>
              <w:rPr>
                <w:rFonts w:ascii="Cambria Math" w:hAnsi="Cambria Math"/>
                <w:sz w:val="22"/>
                <w:szCs w:val="22"/>
              </w:rPr>
            </m:ctrlPr>
          </m:sub>
        </m:sSub>
      </m:oMath>
      <w:r>
        <w:rPr>
          <w:sz w:val="22"/>
          <w:szCs w:val="22"/>
        </w:rPr>
        <w:t xml:space="preserve"> is the fraction of transmit antennas/RF chains active, and </w:t>
      </w:r>
      <m:oMath>
        <m:sSub>
          <m:sSubPr>
            <m:ctrlPr>
              <w:rPr>
                <w:rFonts w:ascii="Cambria Math" w:hAnsi="Cambria Math"/>
                <w:sz w:val="22"/>
                <w:szCs w:val="22"/>
              </w:rPr>
            </m:ctrlPr>
          </m:sSubPr>
          <m:e>
            <m:r>
              <m:rPr/>
              <w:rPr>
                <w:rFonts w:ascii="Cambria Math" w:hAnsi="Cambria Math"/>
                <w:sz w:val="22"/>
                <w:szCs w:val="22"/>
              </w:rPr>
              <m:t>α</m:t>
            </m:r>
            <m:ctrlPr>
              <w:rPr>
                <w:rFonts w:ascii="Cambria Math" w:hAnsi="Cambria Math"/>
                <w:sz w:val="22"/>
                <w:szCs w:val="22"/>
              </w:rPr>
            </m:ctrlPr>
          </m:e>
          <m:sub>
            <m:r>
              <m:rPr/>
              <w:rPr>
                <w:rFonts w:ascii="Cambria Math" w:hAnsi="Cambria Math"/>
                <w:sz w:val="22"/>
                <w:szCs w:val="22"/>
              </w:rPr>
              <m:t>p</m:t>
            </m:r>
            <m:ctrlPr>
              <w:rPr>
                <w:rFonts w:ascii="Cambria Math" w:hAnsi="Cambria Math"/>
                <w:sz w:val="22"/>
                <w:szCs w:val="22"/>
              </w:rPr>
            </m:ctrlPr>
          </m:sub>
        </m:sSub>
      </m:oMath>
      <w:r>
        <w:rPr>
          <w:sz w:val="22"/>
          <w:szCs w:val="22"/>
        </w:rPr>
        <w:t xml:space="preserve"> is the fraction of maximum transmit power being used, then an illustrative power model is:</w:t>
      </w:r>
      <w:r>
        <w:rPr>
          <w:sz w:val="22"/>
          <w:szCs w:val="22"/>
        </w:rPr>
        <w:tab/>
      </w:r>
    </w:p>
    <w:p w14:paraId="67177859">
      <w:pPr>
        <w:pStyle w:val="5"/>
        <w:rPr>
          <w:sz w:val="22"/>
          <w:szCs w:val="22"/>
        </w:rPr>
      </w:pPr>
      <m:oMathPara>
        <m:oMathParaPr>
          <m:jc m:val="center"/>
        </m:oMathParaPr>
        <m:oMath>
          <m:sSubSup>
            <m:sSubSupPr>
              <m:ctrlPr>
                <w:rPr>
                  <w:rFonts w:ascii="Cambria Math" w:hAnsi="Cambria Math"/>
                  <w:sz w:val="22"/>
                  <w:szCs w:val="22"/>
                </w:rPr>
              </m:ctrlPr>
            </m:sSubSupPr>
            <m:e>
              <m:r>
                <m:rPr/>
                <w:rPr>
                  <w:rFonts w:ascii="Cambria Math" w:hAnsi="Cambria Math"/>
                  <w:sz w:val="22"/>
                  <w:szCs w:val="22"/>
                </w:rPr>
                <m:t>P</m:t>
              </m:r>
              <m:ctrlPr>
                <w:rPr>
                  <w:rFonts w:ascii="Cambria Math" w:hAnsi="Cambria Math"/>
                  <w:sz w:val="22"/>
                  <w:szCs w:val="22"/>
                </w:rPr>
              </m:ctrlPr>
            </m:e>
            <m:sub>
              <m:r>
                <m:rPr>
                  <m:nor/>
                  <m:sty m:val="p"/>
                </m:rPr>
                <w:rPr>
                  <w:b w:val="0"/>
                  <w:i w:val="0"/>
                  <w:sz w:val="22"/>
                  <w:szCs w:val="22"/>
                </w:rPr>
                <m:t>BS</m:t>
              </m:r>
              <m:ctrlPr>
                <w:rPr>
                  <w:rFonts w:ascii="Cambria Math" w:hAnsi="Cambria Math"/>
                  <w:sz w:val="22"/>
                  <w:szCs w:val="22"/>
                </w:rPr>
              </m:ctrlPr>
            </m:sub>
            <m:sup>
              <m:r>
                <m:rPr/>
                <w:rPr>
                  <w:rFonts w:ascii="Cambria Math" w:hAnsi="Cambria Math"/>
                  <w:sz w:val="22"/>
                  <w:szCs w:val="22"/>
                </w:rPr>
                <m:t>DL</m:t>
              </m:r>
              <m:ctrlPr>
                <w:rPr>
                  <w:rFonts w:ascii="Cambria Math" w:hAnsi="Cambria Math"/>
                  <w:sz w:val="22"/>
                  <w:szCs w:val="22"/>
                </w:rPr>
              </m:ctrlPr>
            </m:sup>
          </m:sSubSup>
          <m:d>
            <m:dPr>
              <m:ctrlPr>
                <w:rPr>
                  <w:rFonts w:ascii="Cambria Math" w:hAnsi="Cambria Math"/>
                  <w:sz w:val="22"/>
                  <w:szCs w:val="22"/>
                </w:rPr>
              </m:ctrlPr>
            </m:dPr>
            <m:e>
              <m:sSub>
                <m:sSubPr>
                  <m:ctrlPr>
                    <w:rPr>
                      <w:rFonts w:ascii="Cambria Math" w:hAnsi="Cambria Math"/>
                      <w:sz w:val="22"/>
                      <w:szCs w:val="22"/>
                    </w:rPr>
                  </m:ctrlPr>
                </m:sSubPr>
                <m:e>
                  <m:r>
                    <m:rPr/>
                    <w:rPr>
                      <w:rFonts w:ascii="Cambria Math" w:hAnsi="Cambria Math"/>
                      <w:sz w:val="22"/>
                      <w:szCs w:val="22"/>
                    </w:rPr>
                    <m:t>α</m:t>
                  </m:r>
                  <m:ctrlPr>
                    <w:rPr>
                      <w:rFonts w:ascii="Cambria Math" w:hAnsi="Cambria Math"/>
                      <w:sz w:val="22"/>
                      <w:szCs w:val="22"/>
                    </w:rPr>
                  </m:ctrlPr>
                </m:e>
                <m:sub>
                  <m:r>
                    <m:rPr/>
                    <w:rPr>
                      <w:rFonts w:ascii="Cambria Math" w:hAnsi="Cambria Math"/>
                      <w:sz w:val="22"/>
                      <w:szCs w:val="22"/>
                    </w:rPr>
                    <m:t>t</m:t>
                  </m:r>
                  <m:ctrlPr>
                    <w:rPr>
                      <w:rFonts w:ascii="Cambria Math" w:hAnsi="Cambria Math"/>
                      <w:sz w:val="22"/>
                      <w:szCs w:val="22"/>
                    </w:rPr>
                  </m:ctrlPr>
                </m:sub>
              </m:sSub>
              <m:r>
                <m:rPr>
                  <m:sty m:val="p"/>
                </m:rPr>
                <w:rPr>
                  <w:rFonts w:ascii="Cambria Math" w:hAnsi="Cambria Math"/>
                  <w:sz w:val="22"/>
                  <w:szCs w:val="22"/>
                </w:rPr>
                <m:t>,</m:t>
              </m:r>
              <m:sSub>
                <m:sSubPr>
                  <m:ctrlPr>
                    <w:rPr>
                      <w:rFonts w:ascii="Cambria Math" w:hAnsi="Cambria Math"/>
                      <w:sz w:val="22"/>
                      <w:szCs w:val="22"/>
                    </w:rPr>
                  </m:ctrlPr>
                </m:sSubPr>
                <m:e>
                  <m:r>
                    <m:rPr/>
                    <w:rPr>
                      <w:rFonts w:ascii="Cambria Math" w:hAnsi="Cambria Math"/>
                      <w:sz w:val="22"/>
                      <w:szCs w:val="22"/>
                    </w:rPr>
                    <m:t>α</m:t>
                  </m:r>
                  <m:ctrlPr>
                    <w:rPr>
                      <w:rFonts w:ascii="Cambria Math" w:hAnsi="Cambria Math"/>
                      <w:sz w:val="22"/>
                      <w:szCs w:val="22"/>
                    </w:rPr>
                  </m:ctrlPr>
                </m:e>
                <m:sub>
                  <m:r>
                    <m:rPr/>
                    <w:rPr>
                      <w:rFonts w:ascii="Cambria Math" w:hAnsi="Cambria Math"/>
                      <w:sz w:val="22"/>
                      <w:szCs w:val="22"/>
                    </w:rPr>
                    <m:t>f</m:t>
                  </m:r>
                  <m:ctrlPr>
                    <w:rPr>
                      <w:rFonts w:ascii="Cambria Math" w:hAnsi="Cambria Math"/>
                      <w:sz w:val="22"/>
                      <w:szCs w:val="22"/>
                    </w:rPr>
                  </m:ctrlPr>
                </m:sub>
              </m:sSub>
              <m:r>
                <m:rPr>
                  <m:sty m:val="p"/>
                </m:rPr>
                <w:rPr>
                  <w:rFonts w:ascii="Cambria Math" w:hAnsi="Cambria Math"/>
                  <w:sz w:val="22"/>
                  <w:szCs w:val="22"/>
                </w:rPr>
                <m:t>,</m:t>
              </m:r>
              <m:sSub>
                <m:sSubPr>
                  <m:ctrlPr>
                    <w:rPr>
                      <w:rFonts w:ascii="Cambria Math" w:hAnsi="Cambria Math"/>
                      <w:sz w:val="22"/>
                      <w:szCs w:val="22"/>
                    </w:rPr>
                  </m:ctrlPr>
                </m:sSubPr>
                <m:e>
                  <m:r>
                    <m:rPr/>
                    <w:rPr>
                      <w:rFonts w:ascii="Cambria Math" w:hAnsi="Cambria Math"/>
                      <w:sz w:val="22"/>
                      <w:szCs w:val="22"/>
                    </w:rPr>
                    <m:t>α</m:t>
                  </m:r>
                  <m:ctrlPr>
                    <w:rPr>
                      <w:rFonts w:ascii="Cambria Math" w:hAnsi="Cambria Math"/>
                      <w:sz w:val="22"/>
                      <w:szCs w:val="22"/>
                    </w:rPr>
                  </m:ctrlPr>
                </m:e>
                <m:sub>
                  <m:r>
                    <m:rPr/>
                    <w:rPr>
                      <w:rFonts w:ascii="Cambria Math" w:hAnsi="Cambria Math"/>
                      <w:sz w:val="22"/>
                      <w:szCs w:val="22"/>
                    </w:rPr>
                    <m:t>a</m:t>
                  </m:r>
                  <m:ctrlPr>
                    <w:rPr>
                      <w:rFonts w:ascii="Cambria Math" w:hAnsi="Cambria Math"/>
                      <w:sz w:val="22"/>
                      <w:szCs w:val="22"/>
                    </w:rPr>
                  </m:ctrlPr>
                </m:sub>
              </m:sSub>
              <m:r>
                <m:rPr>
                  <m:sty m:val="p"/>
                </m:rPr>
                <w:rPr>
                  <w:rFonts w:ascii="Cambria Math" w:hAnsi="Cambria Math"/>
                  <w:sz w:val="22"/>
                  <w:szCs w:val="22"/>
                </w:rPr>
                <m:t>,</m:t>
              </m:r>
              <m:sSub>
                <m:sSubPr>
                  <m:ctrlPr>
                    <w:rPr>
                      <w:rFonts w:ascii="Cambria Math" w:hAnsi="Cambria Math"/>
                      <w:sz w:val="22"/>
                      <w:szCs w:val="22"/>
                    </w:rPr>
                  </m:ctrlPr>
                </m:sSubPr>
                <m:e>
                  <m:r>
                    <m:rPr/>
                    <w:rPr>
                      <w:rFonts w:ascii="Cambria Math" w:hAnsi="Cambria Math"/>
                      <w:sz w:val="22"/>
                      <w:szCs w:val="22"/>
                    </w:rPr>
                    <m:t>α</m:t>
                  </m:r>
                  <m:ctrlPr>
                    <w:rPr>
                      <w:rFonts w:ascii="Cambria Math" w:hAnsi="Cambria Math"/>
                      <w:sz w:val="22"/>
                      <w:szCs w:val="22"/>
                    </w:rPr>
                  </m:ctrlPr>
                </m:e>
                <m:sub>
                  <m:r>
                    <m:rPr/>
                    <w:rPr>
                      <w:rFonts w:ascii="Cambria Math" w:hAnsi="Cambria Math"/>
                      <w:sz w:val="22"/>
                      <w:szCs w:val="22"/>
                    </w:rPr>
                    <m:t>p</m:t>
                  </m:r>
                  <m:ctrlPr>
                    <w:rPr>
                      <w:rFonts w:ascii="Cambria Math" w:hAnsi="Cambria Math"/>
                      <w:sz w:val="22"/>
                      <w:szCs w:val="22"/>
                    </w:rPr>
                  </m:ctrlPr>
                </m:sub>
              </m:sSub>
              <m:ctrlPr>
                <w:rPr>
                  <w:rFonts w:ascii="Cambria Math" w:hAnsi="Cambria Math"/>
                  <w:sz w:val="22"/>
                  <w:szCs w:val="22"/>
                </w:rPr>
              </m:ctrlPr>
            </m:e>
          </m:d>
          <m:r>
            <m:rPr/>
            <w:rPr>
              <w:rFonts w:ascii="Cambria Math" w:hAnsi="Cambria Math"/>
              <w:sz w:val="22"/>
              <w:szCs w:val="22"/>
            </w:rPr>
            <m:t> </m:t>
          </m:r>
          <m:r>
            <m:rPr>
              <m:sty m:val="p"/>
            </m:rPr>
            <w:rPr>
              <w:rFonts w:ascii="Cambria Math" w:hAnsi="Cambria Math"/>
              <w:sz w:val="22"/>
              <w:szCs w:val="22"/>
            </w:rPr>
            <m:t>=</m:t>
          </m:r>
          <m:r>
            <m:rPr/>
            <w:rPr>
              <w:rFonts w:ascii="Cambria Math" w:hAnsi="Cambria Math"/>
              <w:sz w:val="22"/>
              <w:szCs w:val="22"/>
            </w:rPr>
            <m:t> </m:t>
          </m:r>
          <m:sSub>
            <m:sSubPr>
              <m:ctrlPr>
                <w:rPr>
                  <w:rFonts w:ascii="Cambria Math" w:hAnsi="Cambria Math"/>
                  <w:sz w:val="22"/>
                  <w:szCs w:val="22"/>
                </w:rPr>
              </m:ctrlPr>
            </m:sSubPr>
            <m:e>
              <m:r>
                <m:rPr/>
                <w:rPr>
                  <w:rFonts w:ascii="Cambria Math" w:hAnsi="Cambria Math"/>
                  <w:sz w:val="22"/>
                  <w:szCs w:val="22"/>
                </w:rPr>
                <m:t>P</m:t>
              </m:r>
              <m:ctrlPr>
                <w:rPr>
                  <w:rFonts w:ascii="Cambria Math" w:hAnsi="Cambria Math"/>
                  <w:sz w:val="22"/>
                  <w:szCs w:val="22"/>
                </w:rPr>
              </m:ctrlPr>
            </m:e>
            <m:sub>
              <m:r>
                <m:rPr/>
                <w:rPr>
                  <w:rFonts w:ascii="Cambria Math" w:hAnsi="Cambria Math"/>
                  <w:sz w:val="22"/>
                  <w:szCs w:val="22"/>
                </w:rPr>
                <m:t>BS</m:t>
              </m:r>
              <m:r>
                <m:rPr>
                  <m:sty m:val="p"/>
                </m:rPr>
                <w:rPr>
                  <w:rFonts w:ascii="Cambria Math" w:hAnsi="Cambria Math"/>
                  <w:sz w:val="22"/>
                  <w:szCs w:val="22"/>
                </w:rPr>
                <m:t>,deep</m:t>
              </m:r>
              <m:ctrlPr>
                <w:rPr>
                  <w:rFonts w:ascii="Cambria Math" w:hAnsi="Cambria Math"/>
                  <w:sz w:val="22"/>
                  <w:szCs w:val="22"/>
                </w:rPr>
              </m:ctrlPr>
            </m:sub>
          </m:sSub>
          <m:r>
            <m:rPr/>
            <w:rPr>
              <w:rFonts w:ascii="Cambria Math" w:hAnsi="Cambria Math"/>
              <w:sz w:val="22"/>
              <w:szCs w:val="22"/>
            </w:rPr>
            <m:t> </m:t>
          </m:r>
          <m:r>
            <m:rPr>
              <m:sty m:val="p"/>
            </m:rPr>
            <w:rPr>
              <w:rFonts w:ascii="Cambria Math" w:hAnsi="Cambria Math"/>
              <w:sz w:val="22"/>
              <w:szCs w:val="22"/>
            </w:rPr>
            <m:t>+</m:t>
          </m:r>
          <m:r>
            <m:rPr/>
            <w:rPr>
              <w:rFonts w:ascii="Cambria Math" w:hAnsi="Cambria Math"/>
              <w:sz w:val="22"/>
              <w:szCs w:val="22"/>
            </w:rPr>
            <m:t> </m:t>
          </m:r>
          <m:d>
            <m:dPr>
              <m:ctrlPr>
                <w:rPr>
                  <w:rFonts w:ascii="Cambria Math" w:hAnsi="Cambria Math"/>
                  <w:sz w:val="22"/>
                  <w:szCs w:val="22"/>
                </w:rPr>
              </m:ctrlPr>
            </m:dPr>
            <m:e>
              <m:sSub>
                <m:sSubPr>
                  <m:ctrlPr>
                    <w:rPr>
                      <w:rFonts w:ascii="Cambria Math" w:hAnsi="Cambria Math"/>
                      <w:sz w:val="22"/>
                      <w:szCs w:val="22"/>
                    </w:rPr>
                  </m:ctrlPr>
                </m:sSubPr>
                <m:e>
                  <m:r>
                    <m:rPr/>
                    <w:rPr>
                      <w:rFonts w:ascii="Cambria Math" w:hAnsi="Cambria Math"/>
                      <w:sz w:val="22"/>
                      <w:szCs w:val="22"/>
                    </w:rPr>
                    <m:t>P</m:t>
                  </m:r>
                  <m:ctrlPr>
                    <w:rPr>
                      <w:rFonts w:ascii="Cambria Math" w:hAnsi="Cambria Math"/>
                      <w:sz w:val="22"/>
                      <w:szCs w:val="22"/>
                    </w:rPr>
                  </m:ctrlPr>
                </m:e>
                <m:sub>
                  <m:r>
                    <m:rPr/>
                    <w:rPr>
                      <w:rFonts w:ascii="Cambria Math" w:hAnsi="Cambria Math"/>
                      <w:sz w:val="22"/>
                      <w:szCs w:val="22"/>
                    </w:rPr>
                    <m:t>BS</m:t>
                  </m:r>
                  <m:r>
                    <m:rPr>
                      <m:sty m:val="p"/>
                    </m:rPr>
                    <w:rPr>
                      <w:rFonts w:ascii="Cambria Math" w:hAnsi="Cambria Math"/>
                      <w:sz w:val="22"/>
                      <w:szCs w:val="22"/>
                    </w:rPr>
                    <m:t>,DL(full)</m:t>
                  </m:r>
                  <m:ctrlPr>
                    <w:rPr>
                      <w:rFonts w:ascii="Cambria Math" w:hAnsi="Cambria Math"/>
                      <w:sz w:val="22"/>
                      <w:szCs w:val="22"/>
                    </w:rPr>
                  </m:ctrlPr>
                </m:sub>
              </m:sSub>
              <m:r>
                <m:rPr>
                  <m:sty m:val="p"/>
                </m:rPr>
                <w:rPr>
                  <w:rFonts w:ascii="Cambria Math" w:hAnsi="Cambria Math"/>
                  <w:sz w:val="22"/>
                  <w:szCs w:val="22"/>
                </w:rPr>
                <m:t>−</m:t>
              </m:r>
              <m:sSub>
                <m:sSubPr>
                  <m:ctrlPr>
                    <w:rPr>
                      <w:rFonts w:ascii="Cambria Math" w:hAnsi="Cambria Math"/>
                      <w:sz w:val="22"/>
                      <w:szCs w:val="22"/>
                    </w:rPr>
                  </m:ctrlPr>
                </m:sSubPr>
                <m:e>
                  <m:r>
                    <m:rPr/>
                    <w:rPr>
                      <w:rFonts w:ascii="Cambria Math" w:hAnsi="Cambria Math"/>
                      <w:sz w:val="22"/>
                      <w:szCs w:val="22"/>
                    </w:rPr>
                    <m:t>P</m:t>
                  </m:r>
                  <m:ctrlPr>
                    <w:rPr>
                      <w:rFonts w:ascii="Cambria Math" w:hAnsi="Cambria Math"/>
                      <w:sz w:val="22"/>
                      <w:szCs w:val="22"/>
                    </w:rPr>
                  </m:ctrlPr>
                </m:e>
                <m:sub>
                  <m:r>
                    <m:rPr/>
                    <w:rPr>
                      <w:rFonts w:ascii="Cambria Math" w:hAnsi="Cambria Math"/>
                      <w:sz w:val="22"/>
                      <w:szCs w:val="22"/>
                    </w:rPr>
                    <m:t>BS</m:t>
                  </m:r>
                  <m:r>
                    <m:rPr>
                      <m:sty m:val="p"/>
                    </m:rPr>
                    <w:rPr>
                      <w:rFonts w:ascii="Cambria Math" w:hAnsi="Cambria Math"/>
                      <w:sz w:val="22"/>
                      <w:szCs w:val="22"/>
                    </w:rPr>
                    <m:t>,deep</m:t>
                  </m:r>
                  <m:ctrlPr>
                    <w:rPr>
                      <w:rFonts w:ascii="Cambria Math" w:hAnsi="Cambria Math"/>
                      <w:sz w:val="22"/>
                      <w:szCs w:val="22"/>
                    </w:rPr>
                  </m:ctrlPr>
                </m:sub>
              </m:sSub>
              <m:ctrlPr>
                <w:rPr>
                  <w:rFonts w:ascii="Cambria Math" w:hAnsi="Cambria Math"/>
                  <w:sz w:val="22"/>
                  <w:szCs w:val="22"/>
                </w:rPr>
              </m:ctrlPr>
            </m:e>
          </m:d>
          <m:r>
            <m:rPr/>
            <w:rPr>
              <w:rFonts w:ascii="Cambria Math" w:hAnsi="Cambria Math"/>
              <w:sz w:val="22"/>
              <w:szCs w:val="22"/>
            </w:rPr>
            <m:t> </m:t>
          </m:r>
          <m:d>
            <m:dPr>
              <m:ctrlPr>
                <w:rPr>
                  <w:rFonts w:ascii="Cambria Math" w:hAnsi="Cambria Math"/>
                  <w:sz w:val="22"/>
                  <w:szCs w:val="22"/>
                </w:rPr>
              </m:ctrlPr>
            </m:dPr>
            <m:e>
              <m:sSub>
                <m:sSubPr>
                  <m:ctrlPr>
                    <w:rPr>
                      <w:rFonts w:ascii="Cambria Math" w:hAnsi="Cambria Math"/>
                      <w:color w:val="FF0000"/>
                      <w:sz w:val="22"/>
                      <w:szCs w:val="22"/>
                    </w:rPr>
                  </m:ctrlPr>
                </m:sSubPr>
                <m:e>
                  <m:r>
                    <m:rPr/>
                    <w:rPr>
                      <w:rFonts w:ascii="Cambria Math" w:hAnsi="Cambria Math"/>
                      <w:color w:val="FF0000"/>
                      <w:sz w:val="22"/>
                      <w:szCs w:val="22"/>
                    </w:rPr>
                    <m:t>α</m:t>
                  </m:r>
                  <m:ctrlPr>
                    <w:rPr>
                      <w:rFonts w:ascii="Cambria Math" w:hAnsi="Cambria Math"/>
                      <w:color w:val="FF0000"/>
                      <w:sz w:val="22"/>
                      <w:szCs w:val="22"/>
                    </w:rPr>
                  </m:ctrlPr>
                </m:e>
                <m:sub>
                  <m:r>
                    <m:rPr/>
                    <w:rPr>
                      <w:rFonts w:ascii="Cambria Math" w:hAnsi="Cambria Math"/>
                      <w:color w:val="FF0000"/>
                      <w:sz w:val="22"/>
                      <w:szCs w:val="22"/>
                    </w:rPr>
                    <m:t>t</m:t>
                  </m:r>
                  <m:ctrlPr>
                    <w:rPr>
                      <w:rFonts w:ascii="Cambria Math" w:hAnsi="Cambria Math"/>
                      <w:color w:val="FF0000"/>
                      <w:sz w:val="22"/>
                      <w:szCs w:val="22"/>
                    </w:rPr>
                  </m:ctrlPr>
                </m:sub>
              </m:sSub>
              <m:r>
                <m:rPr>
                  <m:sty m:val="p"/>
                </m:rPr>
                <w:rPr>
                  <w:rFonts w:ascii="Cambria Math" w:hAnsi="Cambria Math"/>
                  <w:sz w:val="22"/>
                  <w:szCs w:val="22"/>
                </w:rPr>
                <m:t>⋅</m:t>
              </m:r>
              <m:sSub>
                <m:sSubPr>
                  <m:ctrlPr>
                    <w:rPr>
                      <w:rFonts w:ascii="Cambria Math" w:hAnsi="Cambria Math"/>
                      <w:sz w:val="22"/>
                      <w:szCs w:val="22"/>
                    </w:rPr>
                  </m:ctrlPr>
                </m:sSubPr>
                <m:e>
                  <m:r>
                    <m:rPr/>
                    <w:rPr>
                      <w:rFonts w:ascii="Cambria Math" w:hAnsi="Cambria Math"/>
                      <w:sz w:val="22"/>
                      <w:szCs w:val="22"/>
                    </w:rPr>
                    <m:t>α</m:t>
                  </m:r>
                  <m:ctrlPr>
                    <w:rPr>
                      <w:rFonts w:ascii="Cambria Math" w:hAnsi="Cambria Math"/>
                      <w:sz w:val="22"/>
                      <w:szCs w:val="22"/>
                    </w:rPr>
                  </m:ctrlPr>
                </m:e>
                <m:sub>
                  <m:r>
                    <m:rPr/>
                    <w:rPr>
                      <w:rFonts w:ascii="Cambria Math" w:hAnsi="Cambria Math"/>
                      <w:sz w:val="22"/>
                      <w:szCs w:val="22"/>
                    </w:rPr>
                    <m:t>f</m:t>
                  </m:r>
                  <m:ctrlPr>
                    <w:rPr>
                      <w:rFonts w:ascii="Cambria Math" w:hAnsi="Cambria Math"/>
                      <w:sz w:val="22"/>
                      <w:szCs w:val="22"/>
                    </w:rPr>
                  </m:ctrlPr>
                </m:sub>
              </m:sSub>
              <m:r>
                <m:rPr>
                  <m:sty m:val="p"/>
                </m:rPr>
                <w:rPr>
                  <w:rFonts w:ascii="Cambria Math" w:hAnsi="Cambria Math"/>
                  <w:sz w:val="22"/>
                  <w:szCs w:val="22"/>
                </w:rPr>
                <m:t>⋅</m:t>
              </m:r>
              <m:sSub>
                <m:sSubPr>
                  <m:ctrlPr>
                    <w:rPr>
                      <w:rFonts w:ascii="Cambria Math" w:hAnsi="Cambria Math"/>
                      <w:sz w:val="22"/>
                      <w:szCs w:val="22"/>
                    </w:rPr>
                  </m:ctrlPr>
                </m:sSubPr>
                <m:e>
                  <m:r>
                    <m:rPr/>
                    <w:rPr>
                      <w:rFonts w:ascii="Cambria Math" w:hAnsi="Cambria Math"/>
                      <w:sz w:val="22"/>
                      <w:szCs w:val="22"/>
                    </w:rPr>
                    <m:t>α</m:t>
                  </m:r>
                  <m:ctrlPr>
                    <w:rPr>
                      <w:rFonts w:ascii="Cambria Math" w:hAnsi="Cambria Math"/>
                      <w:sz w:val="22"/>
                      <w:szCs w:val="22"/>
                    </w:rPr>
                  </m:ctrlPr>
                </m:e>
                <m:sub>
                  <m:r>
                    <m:rPr/>
                    <w:rPr>
                      <w:rFonts w:ascii="Cambria Math" w:hAnsi="Cambria Math"/>
                      <w:sz w:val="22"/>
                      <w:szCs w:val="22"/>
                    </w:rPr>
                    <m:t>a</m:t>
                  </m:r>
                  <m:ctrlPr>
                    <w:rPr>
                      <w:rFonts w:ascii="Cambria Math" w:hAnsi="Cambria Math"/>
                      <w:sz w:val="22"/>
                      <w:szCs w:val="22"/>
                    </w:rPr>
                  </m:ctrlPr>
                </m:sub>
              </m:sSub>
              <m:r>
                <m:rPr>
                  <m:sty m:val="p"/>
                </m:rPr>
                <w:rPr>
                  <w:rFonts w:ascii="Cambria Math" w:hAnsi="Cambria Math"/>
                  <w:sz w:val="22"/>
                  <w:szCs w:val="22"/>
                </w:rPr>
                <m:t>⋅</m:t>
              </m:r>
              <m:sSub>
                <m:sSubPr>
                  <m:ctrlPr>
                    <w:rPr>
                      <w:rFonts w:ascii="Cambria Math" w:hAnsi="Cambria Math"/>
                      <w:sz w:val="22"/>
                      <w:szCs w:val="22"/>
                    </w:rPr>
                  </m:ctrlPr>
                </m:sSubPr>
                <m:e>
                  <m:r>
                    <m:rPr/>
                    <w:rPr>
                      <w:rFonts w:ascii="Cambria Math" w:hAnsi="Cambria Math"/>
                      <w:sz w:val="22"/>
                      <w:szCs w:val="22"/>
                    </w:rPr>
                    <m:t>α</m:t>
                  </m:r>
                  <m:ctrlPr>
                    <w:rPr>
                      <w:rFonts w:ascii="Cambria Math" w:hAnsi="Cambria Math"/>
                      <w:sz w:val="22"/>
                      <w:szCs w:val="22"/>
                    </w:rPr>
                  </m:ctrlPr>
                </m:e>
                <m:sub>
                  <m:r>
                    <m:rPr/>
                    <w:rPr>
                      <w:rFonts w:ascii="Cambria Math" w:hAnsi="Cambria Math"/>
                      <w:sz w:val="22"/>
                      <w:szCs w:val="22"/>
                    </w:rPr>
                    <m:t>p</m:t>
                  </m:r>
                  <m:ctrlPr>
                    <w:rPr>
                      <w:rFonts w:ascii="Cambria Math" w:hAnsi="Cambria Math"/>
                      <w:sz w:val="22"/>
                      <w:szCs w:val="22"/>
                    </w:rPr>
                  </m:ctrlPr>
                </m:sub>
              </m:sSub>
              <m:ctrlPr>
                <w:rPr>
                  <w:rFonts w:ascii="Cambria Math" w:hAnsi="Cambria Math"/>
                  <w:sz w:val="22"/>
                  <w:szCs w:val="22"/>
                </w:rPr>
              </m:ctrlPr>
            </m:e>
          </m:d>
          <m:r>
            <m:rPr/>
            <w:rPr>
              <w:rFonts w:ascii="Cambria Math" w:hAnsi="Cambria Math"/>
              <w:sz w:val="22"/>
              <w:szCs w:val="22"/>
            </w:rPr>
            <m:t> </m:t>
          </m:r>
          <m:r>
            <m:rPr>
              <m:sty m:val="p"/>
            </m:rPr>
            <w:rPr>
              <w:rFonts w:ascii="Cambria Math" w:hAnsi="Cambria Math"/>
              <w:sz w:val="22"/>
              <w:szCs w:val="22"/>
            </w:rPr>
            <m:t>.</m:t>
          </m:r>
        </m:oMath>
      </m:oMathPara>
    </w:p>
    <w:p w14:paraId="7FC8A2A8">
      <w:pPr>
        <w:pStyle w:val="85"/>
        <w:rPr>
          <w:sz w:val="22"/>
          <w:szCs w:val="22"/>
        </w:rPr>
      </w:pPr>
      <w:r>
        <w:rPr>
          <w:sz w:val="22"/>
          <w:szCs w:val="22"/>
        </w:rPr>
        <w:t xml:space="preserve">All parameters </w:t>
      </w:r>
      <m:oMath>
        <m:r>
          <m:rPr/>
          <w:rPr>
            <w:rFonts w:ascii="Cambria Math" w:hAnsi="Cambria Math"/>
            <w:sz w:val="22"/>
            <w:szCs w:val="22"/>
          </w:rPr>
          <m:t>α</m:t>
        </m:r>
        <m:r>
          <m:rPr/>
          <w:rPr>
            <w:rFonts w:ascii="DejaVu Math TeX Gyre" w:hAnsi="DejaVu Math TeX Gyre"/>
            <w:sz w:val="22"/>
            <w:szCs w:val="22"/>
          </w:rPr>
          <m:t>∈{</m:t>
        </m:r>
        <m:r>
          <m:rPr/>
          <w:rPr>
            <w:rFonts w:ascii="Cambria Math" w:hAnsi="Cambria Math"/>
            <w:sz w:val="22"/>
            <w:szCs w:val="22"/>
          </w:rPr>
          <m:t>0,1</m:t>
        </m:r>
        <m:r>
          <m:rPr/>
          <w:rPr>
            <w:rFonts w:ascii="DejaVu Math TeX Gyre" w:hAnsi="DejaVu Math TeX Gyre"/>
            <w:sz w:val="22"/>
            <w:szCs w:val="22"/>
          </w:rPr>
          <m:t>}</m:t>
        </m:r>
      </m:oMath>
      <w:r>
        <w:rPr>
          <w:sz w:val="22"/>
          <w:szCs w:val="22"/>
        </w:rPr>
        <w:t xml:space="preserve"> and are defined relative to the reference configuration capacity (with </w:t>
      </w:r>
      <m:oMath>
        <m:sSub>
          <m:sSubPr>
            <m:ctrlPr>
              <w:rPr>
                <w:rFonts w:ascii="Cambria Math" w:hAnsi="Cambria Math"/>
                <w:sz w:val="22"/>
                <w:szCs w:val="22"/>
              </w:rPr>
            </m:ctrlPr>
          </m:sSubPr>
          <m:e>
            <m:r>
              <m:rPr/>
              <w:rPr>
                <w:rFonts w:ascii="Cambria Math" w:hAnsi="Cambria Math"/>
                <w:sz w:val="22"/>
                <w:szCs w:val="22"/>
              </w:rPr>
              <m:t>α</m:t>
            </m:r>
            <m:ctrlPr>
              <w:rPr>
                <w:rFonts w:ascii="Cambria Math" w:hAnsi="Cambria Math"/>
                <w:sz w:val="22"/>
                <w:szCs w:val="22"/>
              </w:rPr>
            </m:ctrlPr>
          </m:e>
          <m:sub>
            <m:r>
              <m:rPr/>
              <w:rPr>
                <w:rFonts w:ascii="Cambria Math" w:hAnsi="Cambria Math"/>
                <w:sz w:val="22"/>
                <w:szCs w:val="22"/>
              </w:rPr>
              <m:t>t</m:t>
            </m:r>
            <m:ctrlPr>
              <w:rPr>
                <w:rFonts w:ascii="Cambria Math" w:hAnsi="Cambria Math"/>
                <w:sz w:val="22"/>
                <w:szCs w:val="22"/>
              </w:rPr>
            </m:ctrlPr>
          </m:sub>
        </m:sSub>
        <m:r>
          <m:rPr/>
          <w:rPr>
            <w:rFonts w:ascii="Cambria Math" w:hAnsi="Cambria Math"/>
            <w:sz w:val="22"/>
            <w:szCs w:val="22"/>
          </w:rPr>
          <m:t>=1</m:t>
        </m:r>
      </m:oMath>
      <w:r>
        <w:rPr>
          <w:sz w:val="22"/>
          <w:szCs w:val="22"/>
        </w:rPr>
        <w:t xml:space="preserve"> meaning all symbols in the slot carry data, </w:t>
      </w:r>
      <m:oMath>
        <m:sSub>
          <m:sSubPr>
            <m:ctrlPr>
              <w:rPr>
                <w:rFonts w:ascii="Cambria Math" w:hAnsi="Cambria Math"/>
                <w:sz w:val="22"/>
                <w:szCs w:val="22"/>
              </w:rPr>
            </m:ctrlPr>
          </m:sSubPr>
          <m:e>
            <m:r>
              <m:rPr/>
              <w:rPr>
                <w:rFonts w:ascii="Cambria Math" w:hAnsi="Cambria Math"/>
                <w:sz w:val="22"/>
                <w:szCs w:val="22"/>
              </w:rPr>
              <m:t>α</m:t>
            </m:r>
            <m:ctrlPr>
              <w:rPr>
                <w:rFonts w:ascii="Cambria Math" w:hAnsi="Cambria Math"/>
                <w:sz w:val="22"/>
                <w:szCs w:val="22"/>
              </w:rPr>
            </m:ctrlPr>
          </m:e>
          <m:sub>
            <m:r>
              <m:rPr/>
              <w:rPr>
                <w:rFonts w:ascii="Cambria Math" w:hAnsi="Cambria Math"/>
                <w:sz w:val="22"/>
                <w:szCs w:val="22"/>
              </w:rPr>
              <m:t>f</m:t>
            </m:r>
            <m:ctrlPr>
              <w:rPr>
                <w:rFonts w:ascii="Cambria Math" w:hAnsi="Cambria Math"/>
                <w:sz w:val="22"/>
                <w:szCs w:val="22"/>
              </w:rPr>
            </m:ctrlPr>
          </m:sub>
        </m:sSub>
        <m:r>
          <m:rPr/>
          <w:rPr>
            <w:rFonts w:ascii="Cambria Math" w:hAnsi="Cambria Math"/>
            <w:sz w:val="22"/>
            <w:szCs w:val="22"/>
          </w:rPr>
          <m:t>=1</m:t>
        </m:r>
      </m:oMath>
      <w:r>
        <w:rPr>
          <w:sz w:val="22"/>
          <w:szCs w:val="22"/>
        </w:rPr>
        <w:t xml:space="preserve"> meaning the full </w:t>
      </w:r>
      <w:r>
        <w:rPr>
          <w:rFonts w:hint="default"/>
          <w:sz w:val="22"/>
          <w:szCs w:val="22"/>
          <w:lang w:val="en-US"/>
        </w:rPr>
        <w:t>200MHz/</w:t>
      </w:r>
      <w:r>
        <w:rPr>
          <w:sz w:val="22"/>
          <w:szCs w:val="22"/>
        </w:rPr>
        <w:t>100 MHz/20 MHz/</w:t>
      </w:r>
      <w:r>
        <w:rPr>
          <w:rFonts w:hint="default"/>
          <w:sz w:val="22"/>
          <w:szCs w:val="22"/>
          <w:lang w:val="en-US"/>
        </w:rPr>
        <w:t xml:space="preserve">5MHz </w:t>
      </w:r>
      <w:r>
        <w:rPr>
          <w:sz w:val="22"/>
          <w:szCs w:val="22"/>
        </w:rPr>
        <w:t xml:space="preserve">etc system bandwidth is utilized, and so on). </w:t>
      </w:r>
    </w:p>
    <w:p w14:paraId="479206AC">
      <w:pPr>
        <w:pStyle w:val="5"/>
        <w:rPr>
          <w:sz w:val="22"/>
          <w:szCs w:val="22"/>
        </w:rPr>
      </w:pPr>
      <w:r>
        <w:rPr>
          <w:sz w:val="22"/>
          <w:szCs w:val="22"/>
        </w:rPr>
        <w:t xml:space="preserve">In the BS power model formula above, </w:t>
      </w:r>
      <m:oMath>
        <m:sSub>
          <m:sSubPr>
            <m:ctrlPr>
              <w:rPr>
                <w:rFonts w:ascii="Cambria Math" w:hAnsi="Cambria Math"/>
                <w:sz w:val="22"/>
                <w:szCs w:val="22"/>
              </w:rPr>
            </m:ctrlPr>
          </m:sSubPr>
          <m:e>
            <m:r>
              <m:rPr/>
              <w:rPr>
                <w:rFonts w:ascii="Cambria Math" w:hAnsi="Cambria Math"/>
                <w:sz w:val="22"/>
                <w:szCs w:val="22"/>
              </w:rPr>
              <m:t>P</m:t>
            </m:r>
            <m:ctrlPr>
              <w:rPr>
                <w:rFonts w:ascii="Cambria Math" w:hAnsi="Cambria Math"/>
                <w:sz w:val="22"/>
                <w:szCs w:val="22"/>
              </w:rPr>
            </m:ctrlPr>
          </m:e>
          <m:sub>
            <m:r>
              <m:rPr/>
              <w:rPr>
                <w:rFonts w:ascii="Cambria Math" w:hAnsi="Cambria Math"/>
                <w:sz w:val="22"/>
                <w:szCs w:val="22"/>
              </w:rPr>
              <m:t>BS,DL(full)</m:t>
            </m:r>
            <m:ctrlPr>
              <w:rPr>
                <w:rFonts w:ascii="Cambria Math" w:hAnsi="Cambria Math"/>
                <w:sz w:val="22"/>
                <w:szCs w:val="22"/>
              </w:rPr>
            </m:ctrlPr>
          </m:sub>
        </m:sSub>
      </m:oMath>
      <w:r>
        <w:rPr>
          <w:sz w:val="22"/>
          <w:szCs w:val="22"/>
        </w:rPr>
        <w:t xml:space="preserve"> and </w:t>
      </w:r>
      <m:oMath>
        <m:sSub>
          <m:sSubPr>
            <m:ctrlPr>
              <w:rPr>
                <w:rFonts w:ascii="Cambria Math" w:hAnsi="Cambria Math"/>
                <w:sz w:val="22"/>
                <w:szCs w:val="22"/>
              </w:rPr>
            </m:ctrlPr>
          </m:sSubPr>
          <m:e>
            <m:r>
              <m:rPr/>
              <w:rPr>
                <w:rFonts w:ascii="Cambria Math" w:hAnsi="Cambria Math"/>
                <w:sz w:val="22"/>
                <w:szCs w:val="22"/>
              </w:rPr>
              <m:t>P</m:t>
            </m:r>
            <m:ctrlPr>
              <w:rPr>
                <w:rFonts w:ascii="Cambria Math" w:hAnsi="Cambria Math"/>
                <w:sz w:val="22"/>
                <w:szCs w:val="22"/>
              </w:rPr>
            </m:ctrlPr>
          </m:e>
          <m:sub>
            <m:r>
              <m:rPr/>
              <w:rPr>
                <w:rFonts w:ascii="Cambria Math" w:hAnsi="Cambria Math"/>
                <w:sz w:val="22"/>
                <w:szCs w:val="22"/>
              </w:rPr>
              <m:t>BS,deep</m:t>
            </m:r>
            <m:ctrlPr>
              <w:rPr>
                <w:rFonts w:ascii="Cambria Math" w:hAnsi="Cambria Math"/>
                <w:sz w:val="22"/>
                <w:szCs w:val="22"/>
              </w:rPr>
            </m:ctrlPr>
          </m:sub>
        </m:sSub>
      </m:oMath>
      <w:r>
        <w:rPr>
          <w:sz w:val="22"/>
          <w:szCs w:val="22"/>
        </w:rPr>
        <w:t xml:space="preserve"> are constants determined by hardware (for a given category and configuration). The factors </w:t>
      </w:r>
      <m:oMath>
        <m:sSub>
          <m:sSubPr>
            <m:ctrlPr>
              <w:rPr>
                <w:rFonts w:ascii="Cambria Math" w:hAnsi="Cambria Math"/>
                <w:sz w:val="22"/>
                <w:szCs w:val="22"/>
              </w:rPr>
            </m:ctrlPr>
          </m:sSubPr>
          <m:e>
            <m:r>
              <m:rPr/>
              <w:rPr>
                <w:rFonts w:ascii="Cambria Math" w:hAnsi="Cambria Math"/>
                <w:sz w:val="22"/>
                <w:szCs w:val="22"/>
              </w:rPr>
              <m:t>α</m:t>
            </m:r>
            <m:ctrlPr>
              <w:rPr>
                <w:rFonts w:ascii="Cambria Math" w:hAnsi="Cambria Math"/>
                <w:sz w:val="22"/>
                <w:szCs w:val="22"/>
              </w:rPr>
            </m:ctrlPr>
          </m:e>
          <m:sub>
            <m:r>
              <m:rPr/>
              <w:rPr>
                <w:rFonts w:ascii="Cambria Math" w:hAnsi="Cambria Math"/>
                <w:sz w:val="22"/>
                <w:szCs w:val="22"/>
              </w:rPr>
              <m:t>t</m:t>
            </m:r>
            <m:ctrlPr>
              <w:rPr>
                <w:rFonts w:ascii="Cambria Math" w:hAnsi="Cambria Math"/>
                <w:sz w:val="22"/>
                <w:szCs w:val="22"/>
              </w:rPr>
            </m:ctrlPr>
          </m:sub>
        </m:sSub>
        <m:r>
          <m:rPr/>
          <w:rPr>
            <w:rFonts w:ascii="Cambria Math" w:hAnsi="Cambria Math"/>
            <w:sz w:val="22"/>
            <w:szCs w:val="22"/>
          </w:rPr>
          <m:t>,</m:t>
        </m:r>
        <m:sSub>
          <m:sSubPr>
            <m:ctrlPr>
              <w:rPr>
                <w:rFonts w:ascii="Cambria Math" w:hAnsi="Cambria Math"/>
                <w:sz w:val="22"/>
                <w:szCs w:val="22"/>
              </w:rPr>
            </m:ctrlPr>
          </m:sSubPr>
          <m:e>
            <m:r>
              <m:rPr/>
              <w:rPr>
                <w:rFonts w:ascii="Cambria Math" w:hAnsi="Cambria Math"/>
                <w:sz w:val="22"/>
                <w:szCs w:val="22"/>
              </w:rPr>
              <m:t>α</m:t>
            </m:r>
            <m:ctrlPr>
              <w:rPr>
                <w:rFonts w:ascii="Cambria Math" w:hAnsi="Cambria Math"/>
                <w:sz w:val="22"/>
                <w:szCs w:val="22"/>
              </w:rPr>
            </m:ctrlPr>
          </m:e>
          <m:sub>
            <m:r>
              <m:rPr/>
              <w:rPr>
                <w:rFonts w:ascii="Cambria Math" w:hAnsi="Cambria Math"/>
                <w:sz w:val="22"/>
                <w:szCs w:val="22"/>
              </w:rPr>
              <m:t>f</m:t>
            </m:r>
            <m:ctrlPr>
              <w:rPr>
                <w:rFonts w:ascii="Cambria Math" w:hAnsi="Cambria Math"/>
                <w:sz w:val="22"/>
                <w:szCs w:val="22"/>
              </w:rPr>
            </m:ctrlPr>
          </m:sub>
        </m:sSub>
        <m:r>
          <m:rPr/>
          <w:rPr>
            <w:rFonts w:ascii="Cambria Math" w:hAnsi="Cambria Math"/>
            <w:sz w:val="22"/>
            <w:szCs w:val="22"/>
          </w:rPr>
          <m:t>,</m:t>
        </m:r>
        <m:sSub>
          <m:sSubPr>
            <m:ctrlPr>
              <w:rPr>
                <w:rFonts w:ascii="Cambria Math" w:hAnsi="Cambria Math"/>
                <w:sz w:val="22"/>
                <w:szCs w:val="22"/>
              </w:rPr>
            </m:ctrlPr>
          </m:sSubPr>
          <m:e>
            <m:r>
              <m:rPr/>
              <w:rPr>
                <w:rFonts w:ascii="Cambria Math" w:hAnsi="Cambria Math"/>
                <w:sz w:val="22"/>
                <w:szCs w:val="22"/>
              </w:rPr>
              <m:t>α</m:t>
            </m:r>
            <m:ctrlPr>
              <w:rPr>
                <w:rFonts w:ascii="Cambria Math" w:hAnsi="Cambria Math"/>
                <w:sz w:val="22"/>
                <w:szCs w:val="22"/>
              </w:rPr>
            </m:ctrlPr>
          </m:e>
          <m:sub>
            <m:r>
              <m:rPr/>
              <w:rPr>
                <w:rFonts w:ascii="Cambria Math" w:hAnsi="Cambria Math"/>
                <w:sz w:val="22"/>
                <w:szCs w:val="22"/>
              </w:rPr>
              <m:t>a</m:t>
            </m:r>
            <m:ctrlPr>
              <w:rPr>
                <w:rFonts w:ascii="Cambria Math" w:hAnsi="Cambria Math"/>
                <w:sz w:val="22"/>
                <w:szCs w:val="22"/>
              </w:rPr>
            </m:ctrlPr>
          </m:sub>
        </m:sSub>
        <m:r>
          <m:rPr/>
          <w:rPr>
            <w:rFonts w:ascii="Cambria Math" w:hAnsi="Cambria Math"/>
            <w:sz w:val="22"/>
            <w:szCs w:val="22"/>
          </w:rPr>
          <m:t>,</m:t>
        </m:r>
        <m:sSub>
          <m:sSubPr>
            <m:ctrlPr>
              <w:rPr>
                <w:rFonts w:ascii="Cambria Math" w:hAnsi="Cambria Math"/>
                <w:sz w:val="22"/>
                <w:szCs w:val="22"/>
              </w:rPr>
            </m:ctrlPr>
          </m:sSubPr>
          <m:e>
            <m:r>
              <m:rPr/>
              <w:rPr>
                <w:rFonts w:ascii="Cambria Math" w:hAnsi="Cambria Math"/>
                <w:sz w:val="22"/>
                <w:szCs w:val="22"/>
              </w:rPr>
              <m:t>α</m:t>
            </m:r>
            <m:ctrlPr>
              <w:rPr>
                <w:rFonts w:ascii="Cambria Math" w:hAnsi="Cambria Math"/>
                <w:sz w:val="22"/>
                <w:szCs w:val="22"/>
              </w:rPr>
            </m:ctrlPr>
          </m:e>
          <m:sub>
            <m:r>
              <m:rPr/>
              <w:rPr>
                <w:rFonts w:ascii="Cambria Math" w:hAnsi="Cambria Math"/>
                <w:sz w:val="22"/>
                <w:szCs w:val="22"/>
              </w:rPr>
              <m:t>p</m:t>
            </m:r>
            <m:ctrlPr>
              <w:rPr>
                <w:rFonts w:ascii="Cambria Math" w:hAnsi="Cambria Math"/>
                <w:sz w:val="22"/>
                <w:szCs w:val="22"/>
              </w:rPr>
            </m:ctrlPr>
          </m:sub>
        </m:sSub>
      </m:oMath>
      <w:r>
        <w:rPr>
          <w:sz w:val="22"/>
          <w:szCs w:val="22"/>
        </w:rPr>
        <w:t xml:space="preserve"> are variables representing how much of the BS’s capability is utilized in a given interval. For instance, </w:t>
      </w:r>
      <m:oMath>
        <m:sSub>
          <m:sSubPr>
            <m:ctrlPr>
              <w:rPr>
                <w:rFonts w:ascii="Cambria Math" w:hAnsi="Cambria Math"/>
                <w:sz w:val="22"/>
                <w:szCs w:val="22"/>
              </w:rPr>
            </m:ctrlPr>
          </m:sSubPr>
          <m:e>
            <m:r>
              <m:rPr/>
              <w:rPr>
                <w:rFonts w:ascii="Cambria Math" w:hAnsi="Cambria Math"/>
                <w:sz w:val="22"/>
                <w:szCs w:val="22"/>
              </w:rPr>
              <m:t>α</m:t>
            </m:r>
            <m:ctrlPr>
              <w:rPr>
                <w:rFonts w:ascii="Cambria Math" w:hAnsi="Cambria Math"/>
                <w:sz w:val="22"/>
                <w:szCs w:val="22"/>
              </w:rPr>
            </m:ctrlPr>
          </m:e>
          <m:sub>
            <m:r>
              <m:rPr/>
              <w:rPr>
                <w:rFonts w:ascii="Cambria Math" w:hAnsi="Cambria Math"/>
                <w:sz w:val="22"/>
                <w:szCs w:val="22"/>
              </w:rPr>
              <m:t>a</m:t>
            </m:r>
            <m:ctrlPr>
              <w:rPr>
                <w:rFonts w:ascii="Cambria Math" w:hAnsi="Cambria Math"/>
                <w:sz w:val="22"/>
                <w:szCs w:val="22"/>
              </w:rPr>
            </m:ctrlPr>
          </m:sub>
        </m:sSub>
      </m:oMath>
      <w:r>
        <w:rPr>
          <w:sz w:val="22"/>
          <w:szCs w:val="22"/>
        </w:rPr>
        <w:t xml:space="preserve"> (antenna domain) could be 0.5 if only half of the MIMO transmit chains are actively transmitting (e.g. analog beamforming or antenna muting is used to save energy), and </w:t>
      </w:r>
      <m:oMath>
        <m:sSub>
          <m:sSubPr>
            <m:ctrlPr>
              <w:rPr>
                <w:rFonts w:ascii="Cambria Math" w:hAnsi="Cambria Math"/>
                <w:sz w:val="22"/>
                <w:szCs w:val="22"/>
              </w:rPr>
            </m:ctrlPr>
          </m:sSubPr>
          <m:e>
            <m:r>
              <m:rPr/>
              <w:rPr>
                <w:rFonts w:ascii="Cambria Math" w:hAnsi="Cambria Math"/>
                <w:sz w:val="22"/>
                <w:szCs w:val="22"/>
              </w:rPr>
              <m:t>α</m:t>
            </m:r>
            <m:ctrlPr>
              <w:rPr>
                <w:rFonts w:ascii="Cambria Math" w:hAnsi="Cambria Math"/>
                <w:sz w:val="22"/>
                <w:szCs w:val="22"/>
              </w:rPr>
            </m:ctrlPr>
          </m:e>
          <m:sub>
            <m:r>
              <m:rPr/>
              <w:rPr>
                <w:rFonts w:ascii="Cambria Math" w:hAnsi="Cambria Math"/>
                <w:sz w:val="22"/>
                <w:szCs w:val="22"/>
              </w:rPr>
              <m:t>t</m:t>
            </m:r>
            <m:ctrlPr>
              <w:rPr>
                <w:rFonts w:ascii="Cambria Math" w:hAnsi="Cambria Math"/>
                <w:sz w:val="22"/>
                <w:szCs w:val="22"/>
              </w:rPr>
            </m:ctrlPr>
          </m:sub>
        </m:sSub>
      </m:oMath>
      <w:r>
        <w:rPr>
          <w:sz w:val="22"/>
          <w:szCs w:val="22"/>
        </w:rPr>
        <w:t xml:space="preserve"> (time domain) might be 0.5 if only half the OFDM symbols in the slot carry user data while others are empty (allowing micro-sleep during those symbols). The product of these fractions reflects an idealized proportionality assumption – effectively assuming independent domains of resource utilization contribute multiplicatively to power consumption. While real power use may not scale perfectly linearly in each domain, this approach provides a tractable approximation. It enables evaluating energy-saving adaptations across time-domain (e.g. longer idle gaps), frequency-domain (narrower transmission bandwidth), spatial-domain (antenna shut-down or MIMO rank adaptation), and power control (lower transmit power).</w:t>
      </w:r>
    </w:p>
    <w:p w14:paraId="7C57ACC6">
      <w:pPr>
        <w:pStyle w:val="5"/>
        <w:rPr>
          <w:b/>
          <w:bCs/>
          <w:i/>
          <w:iCs/>
          <w:lang w:eastAsia="zh-CN"/>
        </w:rPr>
      </w:pPr>
      <w:r>
        <w:rPr>
          <w:rFonts w:hint="default"/>
          <w:b/>
          <w:bCs/>
          <w:i/>
          <w:iCs/>
          <w:sz w:val="22"/>
          <w:szCs w:val="22"/>
          <w:lang w:val="en-US"/>
        </w:rPr>
        <w:t xml:space="preserve">Observation 12: For </w:t>
      </w:r>
      <w:r>
        <w:rPr>
          <w:rFonts w:hint="default"/>
          <w:b/>
          <w:bCs/>
          <w:i/>
          <w:iCs/>
          <w:sz w:val="22"/>
          <w:szCs w:val="22"/>
          <w:lang w:val="en-US" w:eastAsia="zh-CN"/>
        </w:rPr>
        <w:t xml:space="preserve">the BS power consumption model for active DL transmission, </w:t>
      </w:r>
      <w:r>
        <w:rPr>
          <w:b/>
          <w:bCs/>
          <w:i/>
          <w:iCs/>
          <w:sz w:val="22"/>
          <w:szCs w:val="22"/>
        </w:rPr>
        <w:t xml:space="preserve"> an illustrative power model is:</w:t>
      </w:r>
      <w:r>
        <w:rPr>
          <w:b/>
          <w:bCs/>
          <w:i/>
          <w:iCs/>
        </w:rPr>
        <w:tab/>
      </w:r>
    </w:p>
    <w:p w14:paraId="2A5B7997">
      <w:pPr>
        <w:pStyle w:val="5"/>
        <w:rPr>
          <w:b/>
          <w:bCs/>
          <w:i/>
          <w:iCs/>
        </w:rPr>
      </w:pPr>
      <m:oMathPara>
        <m:oMathParaPr>
          <m:jc m:val="center"/>
        </m:oMathParaPr>
        <m:oMath>
          <m:sSubSup>
            <m:sSubSupPr>
              <m:ctrlPr>
                <w:rPr>
                  <w:rFonts w:ascii="DejaVu Math TeX Gyre" w:hAnsi="DejaVu Math TeX Gyre"/>
                  <w:b/>
                  <w:bCs/>
                  <w:i/>
                  <w:iCs/>
                </w:rPr>
              </m:ctrlPr>
            </m:sSubSupPr>
            <m:e>
              <m:r>
                <m:rPr>
                  <m:sty m:val="bi"/>
                </m:rPr>
                <w:rPr>
                  <w:rFonts w:hint="default" w:ascii="DejaVu Math TeX Gyre" w:hAnsi="DejaVu Math TeX Gyre"/>
                </w:rPr>
                <m:t>P</m:t>
              </m:r>
              <m:ctrlPr>
                <w:rPr>
                  <w:rFonts w:ascii="DejaVu Math TeX Gyre" w:hAnsi="DejaVu Math TeX Gyre"/>
                  <w:b/>
                  <w:bCs/>
                  <w:i/>
                  <w:iCs/>
                </w:rPr>
              </m:ctrlPr>
            </m:e>
            <m:sub>
              <m:r>
                <m:rPr>
                  <m:nor/>
                  <m:sty m:val="bi"/>
                </m:rPr>
                <w:rPr>
                  <w:rFonts w:ascii="DejaVu Math TeX Gyre" w:hAnsi="DejaVu Math TeX Gyre"/>
                  <w:b/>
                  <w:bCs/>
                  <w:i/>
                  <w:iCs/>
                </w:rPr>
                <m:t>BS</m:t>
              </m:r>
              <m:ctrlPr>
                <w:rPr>
                  <w:rFonts w:ascii="DejaVu Math TeX Gyre" w:hAnsi="DejaVu Math TeX Gyre"/>
                  <w:b/>
                  <w:bCs/>
                  <w:i/>
                  <w:iCs/>
                </w:rPr>
              </m:ctrlPr>
            </m:sub>
            <m:sup>
              <m:r>
                <m:rPr>
                  <m:sty m:val="bi"/>
                </m:rPr>
                <w:rPr>
                  <w:rFonts w:hint="default" w:ascii="DejaVu Math TeX Gyre" w:hAnsi="DejaVu Math TeX Gyre"/>
                </w:rPr>
                <m:t>DL</m:t>
              </m:r>
              <m:ctrlPr>
                <w:rPr>
                  <w:rFonts w:ascii="DejaVu Math TeX Gyre" w:hAnsi="DejaVu Math TeX Gyre"/>
                  <w:b/>
                  <w:bCs/>
                  <w:i/>
                  <w:iCs/>
                </w:rPr>
              </m:ctrlPr>
            </m:sup>
          </m:sSubSup>
          <m:d>
            <m:dPr>
              <m:ctrlPr>
                <w:rPr>
                  <w:rFonts w:ascii="DejaVu Math TeX Gyre" w:hAnsi="DejaVu Math TeX Gyre"/>
                  <w:b/>
                  <w:bCs/>
                  <w:i/>
                  <w:iCs/>
                </w:rPr>
              </m:ctrlPr>
            </m:dPr>
            <m:e>
              <m:sSub>
                <m:sSubPr>
                  <m:ctrlPr>
                    <w:rPr>
                      <w:rFonts w:ascii="DejaVu Math TeX Gyre" w:hAnsi="DejaVu Math TeX Gyre"/>
                      <w:b/>
                      <w:bCs/>
                      <w:i/>
                      <w:iCs/>
                    </w:rPr>
                  </m:ctrlPr>
                </m:sSubPr>
                <m:e>
                  <m:r>
                    <m:rPr>
                      <m:sty m:val="bi"/>
                    </m:rPr>
                    <w:rPr>
                      <w:rFonts w:hint="default" w:ascii="DejaVu Math TeX Gyre" w:hAnsi="DejaVu Math TeX Gyre"/>
                    </w:rPr>
                    <m:t>α</m:t>
                  </m:r>
                  <m:ctrlPr>
                    <w:rPr>
                      <w:rFonts w:ascii="DejaVu Math TeX Gyre" w:hAnsi="DejaVu Math TeX Gyre"/>
                      <w:b/>
                      <w:bCs/>
                      <w:i/>
                      <w:iCs/>
                    </w:rPr>
                  </m:ctrlPr>
                </m:e>
                <m:sub>
                  <m:r>
                    <m:rPr>
                      <m:sty m:val="bi"/>
                    </m:rPr>
                    <w:rPr>
                      <w:rFonts w:hint="default" w:ascii="DejaVu Math TeX Gyre" w:hAnsi="DejaVu Math TeX Gyre"/>
                    </w:rPr>
                    <m:t>t</m:t>
                  </m:r>
                  <m:ctrlPr>
                    <w:rPr>
                      <w:rFonts w:ascii="DejaVu Math TeX Gyre" w:hAnsi="DejaVu Math TeX Gyre"/>
                      <w:b/>
                      <w:bCs/>
                      <w:i/>
                      <w:iCs/>
                    </w:rPr>
                  </m:ctrlPr>
                </m:sub>
              </m:sSub>
              <m:r>
                <m:rPr>
                  <m:sty m:val="bi"/>
                </m:rPr>
                <w:rPr>
                  <w:rFonts w:ascii="DejaVu Math TeX Gyre" w:hAnsi="DejaVu Math TeX Gyre"/>
                </w:rPr>
                <m:t>,</m:t>
              </m:r>
              <m:sSub>
                <m:sSubPr>
                  <m:ctrlPr>
                    <w:rPr>
                      <w:rFonts w:ascii="DejaVu Math TeX Gyre" w:hAnsi="DejaVu Math TeX Gyre"/>
                      <w:b/>
                      <w:bCs/>
                      <w:i/>
                      <w:iCs/>
                    </w:rPr>
                  </m:ctrlPr>
                </m:sSubPr>
                <m:e>
                  <m:r>
                    <m:rPr>
                      <m:sty m:val="bi"/>
                    </m:rPr>
                    <w:rPr>
                      <w:rFonts w:hint="default" w:ascii="DejaVu Math TeX Gyre" w:hAnsi="DejaVu Math TeX Gyre"/>
                    </w:rPr>
                    <m:t>α</m:t>
                  </m:r>
                  <m:ctrlPr>
                    <w:rPr>
                      <w:rFonts w:ascii="DejaVu Math TeX Gyre" w:hAnsi="DejaVu Math TeX Gyre"/>
                      <w:b/>
                      <w:bCs/>
                      <w:i/>
                      <w:iCs/>
                    </w:rPr>
                  </m:ctrlPr>
                </m:e>
                <m:sub>
                  <m:r>
                    <m:rPr>
                      <m:sty m:val="bi"/>
                    </m:rPr>
                    <w:rPr>
                      <w:rFonts w:hint="default" w:ascii="DejaVu Math TeX Gyre" w:hAnsi="DejaVu Math TeX Gyre"/>
                    </w:rPr>
                    <m:t>f</m:t>
                  </m:r>
                  <m:ctrlPr>
                    <w:rPr>
                      <w:rFonts w:ascii="DejaVu Math TeX Gyre" w:hAnsi="DejaVu Math TeX Gyre"/>
                      <w:b/>
                      <w:bCs/>
                      <w:i/>
                      <w:iCs/>
                    </w:rPr>
                  </m:ctrlPr>
                </m:sub>
              </m:sSub>
              <m:r>
                <m:rPr>
                  <m:sty m:val="bi"/>
                </m:rPr>
                <w:rPr>
                  <w:rFonts w:ascii="DejaVu Math TeX Gyre" w:hAnsi="DejaVu Math TeX Gyre"/>
                </w:rPr>
                <m:t>,</m:t>
              </m:r>
              <m:sSub>
                <m:sSubPr>
                  <m:ctrlPr>
                    <w:rPr>
                      <w:rFonts w:ascii="DejaVu Math TeX Gyre" w:hAnsi="DejaVu Math TeX Gyre"/>
                      <w:b/>
                      <w:bCs/>
                      <w:i/>
                      <w:iCs/>
                    </w:rPr>
                  </m:ctrlPr>
                </m:sSubPr>
                <m:e>
                  <m:r>
                    <m:rPr>
                      <m:sty m:val="bi"/>
                    </m:rPr>
                    <w:rPr>
                      <w:rFonts w:hint="default" w:ascii="DejaVu Math TeX Gyre" w:hAnsi="DejaVu Math TeX Gyre"/>
                    </w:rPr>
                    <m:t>α</m:t>
                  </m:r>
                  <m:ctrlPr>
                    <w:rPr>
                      <w:rFonts w:ascii="DejaVu Math TeX Gyre" w:hAnsi="DejaVu Math TeX Gyre"/>
                      <w:b/>
                      <w:bCs/>
                      <w:i/>
                      <w:iCs/>
                    </w:rPr>
                  </m:ctrlPr>
                </m:e>
                <m:sub>
                  <m:r>
                    <m:rPr>
                      <m:sty m:val="bi"/>
                    </m:rPr>
                    <w:rPr>
                      <w:rFonts w:hint="default" w:ascii="DejaVu Math TeX Gyre" w:hAnsi="DejaVu Math TeX Gyre"/>
                    </w:rPr>
                    <m:t>a</m:t>
                  </m:r>
                  <m:ctrlPr>
                    <w:rPr>
                      <w:rFonts w:ascii="DejaVu Math TeX Gyre" w:hAnsi="DejaVu Math TeX Gyre"/>
                      <w:b/>
                      <w:bCs/>
                      <w:i/>
                      <w:iCs/>
                    </w:rPr>
                  </m:ctrlPr>
                </m:sub>
              </m:sSub>
              <m:r>
                <m:rPr>
                  <m:sty m:val="bi"/>
                </m:rPr>
                <w:rPr>
                  <w:rFonts w:ascii="DejaVu Math TeX Gyre" w:hAnsi="DejaVu Math TeX Gyre"/>
                </w:rPr>
                <m:t>,</m:t>
              </m:r>
              <m:sSub>
                <m:sSubPr>
                  <m:ctrlPr>
                    <w:rPr>
                      <w:rFonts w:ascii="DejaVu Math TeX Gyre" w:hAnsi="DejaVu Math TeX Gyre"/>
                      <w:b/>
                      <w:bCs/>
                      <w:i/>
                      <w:iCs/>
                    </w:rPr>
                  </m:ctrlPr>
                </m:sSubPr>
                <m:e>
                  <m:r>
                    <m:rPr>
                      <m:sty m:val="bi"/>
                    </m:rPr>
                    <w:rPr>
                      <w:rFonts w:hint="default" w:ascii="DejaVu Math TeX Gyre" w:hAnsi="DejaVu Math TeX Gyre"/>
                    </w:rPr>
                    <m:t>α</m:t>
                  </m:r>
                  <m:ctrlPr>
                    <w:rPr>
                      <w:rFonts w:ascii="DejaVu Math TeX Gyre" w:hAnsi="DejaVu Math TeX Gyre"/>
                      <w:b/>
                      <w:bCs/>
                      <w:i/>
                      <w:iCs/>
                    </w:rPr>
                  </m:ctrlPr>
                </m:e>
                <m:sub>
                  <m:r>
                    <m:rPr>
                      <m:sty m:val="bi"/>
                    </m:rPr>
                    <w:rPr>
                      <w:rFonts w:hint="default" w:ascii="DejaVu Math TeX Gyre" w:hAnsi="DejaVu Math TeX Gyre"/>
                    </w:rPr>
                    <m:t>p</m:t>
                  </m:r>
                  <m:ctrlPr>
                    <w:rPr>
                      <w:rFonts w:ascii="DejaVu Math TeX Gyre" w:hAnsi="DejaVu Math TeX Gyre"/>
                      <w:b/>
                      <w:bCs/>
                      <w:i/>
                      <w:iCs/>
                    </w:rPr>
                  </m:ctrlPr>
                </m:sub>
              </m:sSub>
              <m:ctrlPr>
                <w:rPr>
                  <w:rFonts w:ascii="DejaVu Math TeX Gyre" w:hAnsi="DejaVu Math TeX Gyre"/>
                  <w:b/>
                  <w:bCs/>
                  <w:i/>
                  <w:iCs/>
                </w:rPr>
              </m:ctrlPr>
            </m:e>
          </m:d>
          <m:r>
            <m:rPr>
              <m:sty m:val="bi"/>
            </m:rPr>
            <w:rPr>
              <w:rFonts w:ascii="DejaVu Math TeX Gyre" w:hAnsi="DejaVu Math TeX Gyre"/>
            </w:rPr>
            <m:t> = </m:t>
          </m:r>
          <m:sSub>
            <m:sSubPr>
              <m:ctrlPr>
                <w:rPr>
                  <w:rFonts w:ascii="DejaVu Math TeX Gyre" w:hAnsi="DejaVu Math TeX Gyre"/>
                  <w:b/>
                  <w:bCs/>
                  <w:i/>
                  <w:iCs/>
                </w:rPr>
              </m:ctrlPr>
            </m:sSubPr>
            <m:e>
              <m:r>
                <m:rPr>
                  <m:sty m:val="bi"/>
                </m:rPr>
                <w:rPr>
                  <w:rFonts w:hint="default" w:ascii="DejaVu Math TeX Gyre" w:hAnsi="DejaVu Math TeX Gyre"/>
                </w:rPr>
                <m:t>P</m:t>
              </m:r>
              <m:ctrlPr>
                <w:rPr>
                  <w:rFonts w:ascii="DejaVu Math TeX Gyre" w:hAnsi="DejaVu Math TeX Gyre"/>
                  <w:b/>
                  <w:bCs/>
                  <w:i/>
                  <w:iCs/>
                </w:rPr>
              </m:ctrlPr>
            </m:e>
            <m:sub>
              <m:r>
                <m:rPr>
                  <m:sty m:val="bi"/>
                </m:rPr>
                <w:rPr>
                  <w:rFonts w:hint="default" w:ascii="DejaVu Math TeX Gyre" w:hAnsi="DejaVu Math TeX Gyre"/>
                </w:rPr>
                <m:t>BS,deep</m:t>
              </m:r>
              <m:ctrlPr>
                <w:rPr>
                  <w:rFonts w:ascii="DejaVu Math TeX Gyre" w:hAnsi="DejaVu Math TeX Gyre"/>
                  <w:b/>
                  <w:bCs/>
                  <w:i/>
                  <w:iCs/>
                </w:rPr>
              </m:ctrlPr>
            </m:sub>
          </m:sSub>
          <m:r>
            <m:rPr>
              <m:sty m:val="bi"/>
            </m:rPr>
            <w:rPr>
              <w:rFonts w:ascii="DejaVu Math TeX Gyre" w:hAnsi="DejaVu Math TeX Gyre"/>
            </w:rPr>
            <m:t> + </m:t>
          </m:r>
          <m:d>
            <m:dPr>
              <m:ctrlPr>
                <w:rPr>
                  <w:rFonts w:ascii="DejaVu Math TeX Gyre" w:hAnsi="DejaVu Math TeX Gyre"/>
                  <w:b/>
                  <w:bCs/>
                  <w:i/>
                  <w:iCs/>
                </w:rPr>
              </m:ctrlPr>
            </m:dPr>
            <m:e>
              <m:sSub>
                <m:sSubPr>
                  <m:ctrlPr>
                    <w:rPr>
                      <w:rFonts w:ascii="DejaVu Math TeX Gyre" w:hAnsi="DejaVu Math TeX Gyre"/>
                      <w:b/>
                      <w:bCs/>
                      <w:i/>
                      <w:iCs/>
                    </w:rPr>
                  </m:ctrlPr>
                </m:sSubPr>
                <m:e>
                  <m:r>
                    <m:rPr>
                      <m:sty m:val="bi"/>
                    </m:rPr>
                    <w:rPr>
                      <w:rFonts w:hint="default" w:ascii="DejaVu Math TeX Gyre" w:hAnsi="DejaVu Math TeX Gyre"/>
                    </w:rPr>
                    <m:t>P</m:t>
                  </m:r>
                  <m:ctrlPr>
                    <w:rPr>
                      <w:rFonts w:ascii="DejaVu Math TeX Gyre" w:hAnsi="DejaVu Math TeX Gyre"/>
                      <w:b/>
                      <w:bCs/>
                      <w:i/>
                      <w:iCs/>
                    </w:rPr>
                  </m:ctrlPr>
                </m:e>
                <m:sub>
                  <m:r>
                    <m:rPr>
                      <m:sty m:val="bi"/>
                    </m:rPr>
                    <w:rPr>
                      <w:rFonts w:hint="default" w:ascii="DejaVu Math TeX Gyre" w:hAnsi="DejaVu Math TeX Gyre"/>
                    </w:rPr>
                    <m:t>BS,DL(full)</m:t>
                  </m:r>
                  <m:ctrlPr>
                    <w:rPr>
                      <w:rFonts w:ascii="DejaVu Math TeX Gyre" w:hAnsi="DejaVu Math TeX Gyre"/>
                      <w:b/>
                      <w:bCs/>
                      <w:i/>
                      <w:iCs/>
                    </w:rPr>
                  </m:ctrlPr>
                </m:sub>
              </m:sSub>
              <m:r>
                <m:rPr>
                  <m:sty m:val="bi"/>
                </m:rPr>
                <w:rPr>
                  <w:rFonts w:ascii="DejaVu Math TeX Gyre" w:hAnsi="DejaVu Math TeX Gyre"/>
                </w:rPr>
                <m:t>−</m:t>
              </m:r>
              <m:sSub>
                <m:sSubPr>
                  <m:ctrlPr>
                    <w:rPr>
                      <w:rFonts w:ascii="DejaVu Math TeX Gyre" w:hAnsi="DejaVu Math TeX Gyre"/>
                      <w:b/>
                      <w:bCs/>
                      <w:i/>
                      <w:iCs/>
                    </w:rPr>
                  </m:ctrlPr>
                </m:sSubPr>
                <m:e>
                  <m:r>
                    <m:rPr>
                      <m:sty m:val="bi"/>
                    </m:rPr>
                    <w:rPr>
                      <w:rFonts w:hint="default" w:ascii="DejaVu Math TeX Gyre" w:hAnsi="DejaVu Math TeX Gyre"/>
                    </w:rPr>
                    <m:t>P</m:t>
                  </m:r>
                  <m:ctrlPr>
                    <w:rPr>
                      <w:rFonts w:ascii="DejaVu Math TeX Gyre" w:hAnsi="DejaVu Math TeX Gyre"/>
                      <w:b/>
                      <w:bCs/>
                      <w:i/>
                      <w:iCs/>
                    </w:rPr>
                  </m:ctrlPr>
                </m:e>
                <m:sub>
                  <m:r>
                    <m:rPr>
                      <m:sty m:val="bi"/>
                    </m:rPr>
                    <w:rPr>
                      <w:rFonts w:hint="default" w:ascii="DejaVu Math TeX Gyre" w:hAnsi="DejaVu Math TeX Gyre"/>
                    </w:rPr>
                    <m:t>BS,deep</m:t>
                  </m:r>
                  <m:ctrlPr>
                    <w:rPr>
                      <w:rFonts w:ascii="DejaVu Math TeX Gyre" w:hAnsi="DejaVu Math TeX Gyre"/>
                      <w:b/>
                      <w:bCs/>
                      <w:i/>
                      <w:iCs/>
                    </w:rPr>
                  </m:ctrlPr>
                </m:sub>
              </m:sSub>
              <m:ctrlPr>
                <w:rPr>
                  <w:rFonts w:ascii="DejaVu Math TeX Gyre" w:hAnsi="DejaVu Math TeX Gyre"/>
                  <w:b/>
                  <w:bCs/>
                  <w:i/>
                  <w:iCs/>
                </w:rPr>
              </m:ctrlPr>
            </m:e>
          </m:d>
          <m:r>
            <m:rPr>
              <m:sty m:val="bi"/>
            </m:rPr>
            <w:rPr>
              <w:rFonts w:ascii="DejaVu Math TeX Gyre" w:hAnsi="DejaVu Math TeX Gyre"/>
            </w:rPr>
            <m:t> </m:t>
          </m:r>
          <m:d>
            <m:dPr>
              <m:ctrlPr>
                <w:rPr>
                  <w:rFonts w:ascii="DejaVu Math TeX Gyre" w:hAnsi="DejaVu Math TeX Gyre"/>
                  <w:b/>
                  <w:bCs/>
                  <w:i/>
                  <w:iCs/>
                </w:rPr>
              </m:ctrlPr>
            </m:dPr>
            <m:e>
              <m:sSub>
                <m:sSubPr>
                  <m:ctrlPr>
                    <w:rPr>
                      <w:rFonts w:ascii="DejaVu Math TeX Gyre" w:hAnsi="DejaVu Math TeX Gyre"/>
                      <w:b/>
                      <w:bCs/>
                      <w:i/>
                      <w:iCs/>
                      <w:color w:val="FF0000"/>
                    </w:rPr>
                  </m:ctrlPr>
                </m:sSubPr>
                <m:e>
                  <m:r>
                    <m:rPr>
                      <m:sty m:val="bi"/>
                    </m:rPr>
                    <w:rPr>
                      <w:rFonts w:hint="default" w:ascii="DejaVu Math TeX Gyre" w:hAnsi="DejaVu Math TeX Gyre"/>
                      <w:color w:val="FF0000"/>
                    </w:rPr>
                    <m:t>α</m:t>
                  </m:r>
                  <m:ctrlPr>
                    <w:rPr>
                      <w:rFonts w:ascii="DejaVu Math TeX Gyre" w:hAnsi="DejaVu Math TeX Gyre"/>
                      <w:b/>
                      <w:bCs/>
                      <w:i/>
                      <w:iCs/>
                      <w:color w:val="FF0000"/>
                    </w:rPr>
                  </m:ctrlPr>
                </m:e>
                <m:sub>
                  <m:r>
                    <m:rPr>
                      <m:sty m:val="bi"/>
                    </m:rPr>
                    <w:rPr>
                      <w:rFonts w:hint="default" w:ascii="DejaVu Math TeX Gyre" w:hAnsi="DejaVu Math TeX Gyre"/>
                      <w:color w:val="FF0000"/>
                    </w:rPr>
                    <m:t>t</m:t>
                  </m:r>
                  <m:ctrlPr>
                    <w:rPr>
                      <w:rFonts w:ascii="DejaVu Math TeX Gyre" w:hAnsi="DejaVu Math TeX Gyre"/>
                      <w:b/>
                      <w:bCs/>
                      <w:i/>
                      <w:iCs/>
                      <w:color w:val="FF0000"/>
                    </w:rPr>
                  </m:ctrlPr>
                </m:sub>
              </m:sSub>
              <m:r>
                <m:rPr>
                  <m:sty m:val="bi"/>
                </m:rPr>
                <w:rPr>
                  <w:rFonts w:ascii="DejaVu Math TeX Gyre" w:hAnsi="DejaVu Math TeX Gyre"/>
                </w:rPr>
                <m:t>⋅</m:t>
              </m:r>
              <m:sSub>
                <m:sSubPr>
                  <m:ctrlPr>
                    <w:rPr>
                      <w:rFonts w:ascii="DejaVu Math TeX Gyre" w:hAnsi="DejaVu Math TeX Gyre"/>
                      <w:b/>
                      <w:bCs/>
                      <w:i/>
                      <w:iCs/>
                    </w:rPr>
                  </m:ctrlPr>
                </m:sSubPr>
                <m:e>
                  <m:r>
                    <m:rPr>
                      <m:sty m:val="bi"/>
                    </m:rPr>
                    <w:rPr>
                      <w:rFonts w:hint="default" w:ascii="DejaVu Math TeX Gyre" w:hAnsi="DejaVu Math TeX Gyre"/>
                    </w:rPr>
                    <m:t>α</m:t>
                  </m:r>
                  <m:ctrlPr>
                    <w:rPr>
                      <w:rFonts w:ascii="DejaVu Math TeX Gyre" w:hAnsi="DejaVu Math TeX Gyre"/>
                      <w:b/>
                      <w:bCs/>
                      <w:i/>
                      <w:iCs/>
                    </w:rPr>
                  </m:ctrlPr>
                </m:e>
                <m:sub>
                  <m:r>
                    <m:rPr>
                      <m:sty m:val="bi"/>
                    </m:rPr>
                    <w:rPr>
                      <w:rFonts w:hint="default" w:ascii="DejaVu Math TeX Gyre" w:hAnsi="DejaVu Math TeX Gyre"/>
                    </w:rPr>
                    <m:t>f</m:t>
                  </m:r>
                  <m:ctrlPr>
                    <w:rPr>
                      <w:rFonts w:ascii="DejaVu Math TeX Gyre" w:hAnsi="DejaVu Math TeX Gyre"/>
                      <w:b/>
                      <w:bCs/>
                      <w:i/>
                      <w:iCs/>
                    </w:rPr>
                  </m:ctrlPr>
                </m:sub>
              </m:sSub>
              <m:r>
                <m:rPr>
                  <m:sty m:val="bi"/>
                </m:rPr>
                <w:rPr>
                  <w:rFonts w:ascii="DejaVu Math TeX Gyre" w:hAnsi="DejaVu Math TeX Gyre"/>
                </w:rPr>
                <m:t>⋅</m:t>
              </m:r>
              <m:sSub>
                <m:sSubPr>
                  <m:ctrlPr>
                    <w:rPr>
                      <w:rFonts w:ascii="DejaVu Math TeX Gyre" w:hAnsi="DejaVu Math TeX Gyre"/>
                      <w:b/>
                      <w:bCs/>
                      <w:i/>
                      <w:iCs/>
                    </w:rPr>
                  </m:ctrlPr>
                </m:sSubPr>
                <m:e>
                  <m:r>
                    <m:rPr>
                      <m:sty m:val="bi"/>
                    </m:rPr>
                    <w:rPr>
                      <w:rFonts w:hint="default" w:ascii="DejaVu Math TeX Gyre" w:hAnsi="DejaVu Math TeX Gyre"/>
                    </w:rPr>
                    <m:t>α</m:t>
                  </m:r>
                  <m:ctrlPr>
                    <w:rPr>
                      <w:rFonts w:ascii="DejaVu Math TeX Gyre" w:hAnsi="DejaVu Math TeX Gyre"/>
                      <w:b/>
                      <w:bCs/>
                      <w:i/>
                      <w:iCs/>
                    </w:rPr>
                  </m:ctrlPr>
                </m:e>
                <m:sub>
                  <m:r>
                    <m:rPr>
                      <m:sty m:val="bi"/>
                    </m:rPr>
                    <w:rPr>
                      <w:rFonts w:hint="default" w:ascii="DejaVu Math TeX Gyre" w:hAnsi="DejaVu Math TeX Gyre"/>
                    </w:rPr>
                    <m:t>a</m:t>
                  </m:r>
                  <m:ctrlPr>
                    <w:rPr>
                      <w:rFonts w:ascii="DejaVu Math TeX Gyre" w:hAnsi="DejaVu Math TeX Gyre"/>
                      <w:b/>
                      <w:bCs/>
                      <w:i/>
                      <w:iCs/>
                    </w:rPr>
                  </m:ctrlPr>
                </m:sub>
              </m:sSub>
              <m:r>
                <m:rPr>
                  <m:sty m:val="bi"/>
                </m:rPr>
                <w:rPr>
                  <w:rFonts w:ascii="DejaVu Math TeX Gyre" w:hAnsi="DejaVu Math TeX Gyre"/>
                </w:rPr>
                <m:t>⋅</m:t>
              </m:r>
              <m:sSub>
                <m:sSubPr>
                  <m:ctrlPr>
                    <w:rPr>
                      <w:rFonts w:ascii="DejaVu Math TeX Gyre" w:hAnsi="DejaVu Math TeX Gyre"/>
                      <w:b/>
                      <w:bCs/>
                      <w:i/>
                      <w:iCs/>
                    </w:rPr>
                  </m:ctrlPr>
                </m:sSubPr>
                <m:e>
                  <m:r>
                    <m:rPr>
                      <m:sty m:val="bi"/>
                    </m:rPr>
                    <w:rPr>
                      <w:rFonts w:hint="default" w:ascii="DejaVu Math TeX Gyre" w:hAnsi="DejaVu Math TeX Gyre"/>
                    </w:rPr>
                    <m:t>α</m:t>
                  </m:r>
                  <m:ctrlPr>
                    <w:rPr>
                      <w:rFonts w:ascii="DejaVu Math TeX Gyre" w:hAnsi="DejaVu Math TeX Gyre"/>
                      <w:b/>
                      <w:bCs/>
                      <w:i/>
                      <w:iCs/>
                    </w:rPr>
                  </m:ctrlPr>
                </m:e>
                <m:sub>
                  <m:r>
                    <m:rPr>
                      <m:sty m:val="bi"/>
                    </m:rPr>
                    <w:rPr>
                      <w:rFonts w:hint="default" w:ascii="DejaVu Math TeX Gyre" w:hAnsi="DejaVu Math TeX Gyre"/>
                    </w:rPr>
                    <m:t>p</m:t>
                  </m:r>
                  <m:ctrlPr>
                    <w:rPr>
                      <w:rFonts w:ascii="DejaVu Math TeX Gyre" w:hAnsi="DejaVu Math TeX Gyre"/>
                      <w:b/>
                      <w:bCs/>
                      <w:i/>
                      <w:iCs/>
                    </w:rPr>
                  </m:ctrlPr>
                </m:sub>
              </m:sSub>
              <m:ctrlPr>
                <w:rPr>
                  <w:rFonts w:ascii="DejaVu Math TeX Gyre" w:hAnsi="DejaVu Math TeX Gyre"/>
                  <w:b/>
                  <w:bCs/>
                  <w:i/>
                  <w:iCs/>
                </w:rPr>
              </m:ctrlPr>
            </m:e>
          </m:d>
          <m:r>
            <m:rPr>
              <m:sty m:val="bi"/>
            </m:rPr>
            <w:rPr>
              <w:rFonts w:ascii="DejaVu Math TeX Gyre" w:hAnsi="DejaVu Math TeX Gyre"/>
            </w:rPr>
            <m:t> .</m:t>
          </m:r>
        </m:oMath>
      </m:oMathPara>
    </w:p>
    <w:p w14:paraId="25AEA4F1">
      <w:pPr>
        <w:pStyle w:val="5"/>
        <w:rPr>
          <w:b/>
          <w:bCs/>
          <w:i/>
          <w:iCs/>
        </w:rPr>
      </w:pPr>
      <w:r>
        <w:rPr>
          <w:b/>
          <w:bCs/>
          <w:i/>
          <w:iCs/>
        </w:rPr>
        <w:t xml:space="preserve">and </w:t>
      </w:r>
      <m:oMath>
        <m:sSub>
          <m:sSubPr>
            <m:ctrlPr>
              <w:rPr>
                <w:rFonts w:ascii="DejaVu Math TeX Gyre" w:hAnsi="DejaVu Math TeX Gyre"/>
                <w:b/>
                <w:bCs/>
                <w:i/>
                <w:iCs/>
              </w:rPr>
            </m:ctrlPr>
          </m:sSubPr>
          <m:e>
            <m:r>
              <m:rPr>
                <m:sty m:val="bi"/>
              </m:rPr>
              <w:rPr>
                <w:rFonts w:hint="default" w:ascii="DejaVu Math TeX Gyre" w:hAnsi="DejaVu Math TeX Gyre"/>
              </w:rPr>
              <m:t>P</m:t>
            </m:r>
            <m:ctrlPr>
              <w:rPr>
                <w:rFonts w:ascii="DejaVu Math TeX Gyre" w:hAnsi="DejaVu Math TeX Gyre"/>
                <w:b/>
                <w:bCs/>
                <w:i/>
                <w:iCs/>
              </w:rPr>
            </m:ctrlPr>
          </m:e>
          <m:sub>
            <m:r>
              <m:rPr>
                <m:sty m:val="bi"/>
              </m:rPr>
              <w:rPr>
                <w:rFonts w:hint="default" w:ascii="DejaVu Math TeX Gyre" w:hAnsi="DejaVu Math TeX Gyre"/>
              </w:rPr>
              <m:t>BS,deep</m:t>
            </m:r>
            <m:ctrlPr>
              <w:rPr>
                <w:rFonts w:ascii="DejaVu Math TeX Gyre" w:hAnsi="DejaVu Math TeX Gyre"/>
                <w:b/>
                <w:bCs/>
                <w:i/>
                <w:iCs/>
              </w:rPr>
            </m:ctrlPr>
          </m:sub>
        </m:sSub>
      </m:oMath>
      <w:r>
        <w:rPr>
          <w:b/>
          <w:bCs/>
          <w:i/>
          <w:iCs/>
        </w:rPr>
        <w:t xml:space="preserve"> be the baseline power in deep sleep. </w:t>
      </w:r>
    </w:p>
    <w:p w14:paraId="1F36EDB3">
      <w:pPr>
        <w:pStyle w:val="49"/>
        <w:rPr>
          <w:b/>
          <w:bCs/>
          <w:i/>
          <w:iCs/>
          <w:lang w:eastAsia="ko-KR"/>
        </w:rPr>
      </w:pPr>
      <w:r>
        <w:rPr>
          <w:b/>
          <w:bCs/>
          <w:i/>
          <w:iCs/>
          <w:lang w:eastAsia="zh-CN"/>
        </w:rPr>
        <w:t>-</w:t>
      </w:r>
      <w:r>
        <w:rPr>
          <w:b/>
          <w:bCs/>
          <w:i/>
          <w:iCs/>
          <w:lang w:eastAsia="zh-CN"/>
        </w:rPr>
        <w:tab/>
      </w:r>
      <w:r>
        <w:rPr>
          <w:b/>
          <w:bCs/>
          <w:i/>
          <w:iCs/>
          <w:lang w:eastAsia="zh-CN"/>
        </w:rPr>
        <w:t xml:space="preserve">Baseline: </w:t>
      </w:r>
      <m:oMath>
        <m:sSub>
          <m:sSubPr>
            <m:ctrlPr>
              <w:rPr>
                <w:rFonts w:ascii="DejaVu Math TeX Gyre" w:hAnsi="DejaVu Math TeX Gyre"/>
                <w:b/>
                <w:bCs/>
                <w:i/>
                <w:iCs/>
              </w:rPr>
            </m:ctrlPr>
          </m:sSubPr>
          <m:e>
            <m:r>
              <m:rPr>
                <m:sty m:val="bi"/>
              </m:rPr>
              <w:rPr>
                <w:rFonts w:hint="default" w:ascii="DejaVu Math TeX Gyre" w:hAnsi="DejaVu Math TeX Gyre"/>
              </w:rPr>
              <m:t>P</m:t>
            </m:r>
            <m:ctrlPr>
              <w:rPr>
                <w:rFonts w:ascii="DejaVu Math TeX Gyre" w:hAnsi="DejaVu Math TeX Gyre"/>
                <w:b/>
                <w:bCs/>
                <w:i/>
                <w:iCs/>
              </w:rPr>
            </m:ctrlPr>
          </m:e>
          <m:sub>
            <m:r>
              <m:rPr>
                <m:sty m:val="bi"/>
              </m:rPr>
              <w:rPr>
                <w:rFonts w:hint="default" w:ascii="DejaVu Math TeX Gyre" w:hAnsi="DejaVu Math TeX Gyre"/>
              </w:rPr>
              <m:t>BS,deep</m:t>
            </m:r>
            <m:ctrlPr>
              <w:rPr>
                <w:rFonts w:ascii="DejaVu Math TeX Gyre" w:hAnsi="DejaVu Math TeX Gyre"/>
                <w:b/>
                <w:bCs/>
                <w:i/>
                <w:iCs/>
              </w:rPr>
            </m:ctrlPr>
          </m:sub>
        </m:sSub>
        <m:r>
          <m:rPr>
            <m:sty m:val="bi"/>
          </m:rPr>
          <w:rPr>
            <w:rFonts w:ascii="DejaVu Math TeX Gyre" w:hAnsi="DejaVu Math TeX Gyre"/>
            <w:lang w:eastAsia="zh-CN"/>
          </w:rPr>
          <m:t>=</m:t>
        </m:r>
        <m:sSub>
          <m:sSubPr>
            <m:ctrlPr>
              <w:rPr>
                <w:rFonts w:ascii="DejaVu Math TeX Gyre" w:hAnsi="DejaVu Math TeX Gyre"/>
                <w:b/>
                <w:bCs/>
                <w:i/>
                <w:iCs/>
              </w:rPr>
            </m:ctrlPr>
          </m:sSubPr>
          <m:e>
            <m:r>
              <m:rPr>
                <m:sty m:val="bi"/>
              </m:rPr>
              <w:rPr>
                <w:rFonts w:hint="default" w:ascii="DejaVu Math TeX Gyre" w:hAnsi="DejaVu Math TeX Gyre"/>
                <w:lang w:eastAsia="zh-CN"/>
              </w:rPr>
              <m:t>P</m:t>
            </m:r>
            <m:ctrlPr>
              <w:rPr>
                <w:rFonts w:ascii="DejaVu Math TeX Gyre" w:hAnsi="DejaVu Math TeX Gyre"/>
                <w:b/>
                <w:bCs/>
                <w:i/>
                <w:iCs/>
              </w:rPr>
            </m:ctrlPr>
          </m:e>
          <m:sub>
            <m:r>
              <m:rPr>
                <m:sty m:val="bi"/>
              </m:rPr>
              <w:rPr>
                <w:rFonts w:hint="default" w:ascii="DejaVu Math TeX Gyre" w:hAnsi="DejaVu Math TeX Gyre"/>
                <w:lang w:eastAsia="zh-CN"/>
              </w:rPr>
              <m:t>3</m:t>
            </m:r>
            <m:ctrlPr>
              <w:rPr>
                <w:rFonts w:ascii="DejaVu Math TeX Gyre" w:hAnsi="DejaVu Math TeX Gyre"/>
                <w:b/>
                <w:bCs/>
                <w:i/>
                <w:iCs/>
              </w:rPr>
            </m:ctrlPr>
          </m:sub>
        </m:sSub>
      </m:oMath>
    </w:p>
    <w:p w14:paraId="6EDA53E9">
      <w:pPr>
        <w:pStyle w:val="49"/>
        <w:rPr>
          <w:b/>
          <w:bCs/>
          <w:i/>
          <w:iCs/>
        </w:rPr>
      </w:pPr>
      <w:r>
        <w:rPr>
          <w:b/>
          <w:bCs/>
          <w:i/>
          <w:iCs/>
          <w:lang w:eastAsia="zh-CN"/>
        </w:rPr>
        <w:t>-</w:t>
      </w:r>
      <w:r>
        <w:rPr>
          <w:b/>
          <w:bCs/>
          <w:i/>
          <w:iCs/>
          <w:lang w:eastAsia="zh-CN"/>
        </w:rPr>
        <w:tab/>
      </w:r>
      <w:r>
        <w:rPr>
          <w:b/>
          <w:bCs/>
          <w:i/>
          <w:iCs/>
          <w:lang w:eastAsia="zh-CN"/>
        </w:rPr>
        <w:t xml:space="preserve">Optional: </w:t>
      </w:r>
      <m:oMath>
        <m:sSub>
          <m:sSubPr>
            <m:ctrlPr>
              <w:rPr>
                <w:rFonts w:ascii="DejaVu Math TeX Gyre" w:hAnsi="DejaVu Math TeX Gyre"/>
                <w:b/>
                <w:bCs/>
                <w:i/>
                <w:iCs/>
              </w:rPr>
            </m:ctrlPr>
          </m:sSubPr>
          <m:e>
            <m:r>
              <m:rPr>
                <m:sty m:val="bi"/>
              </m:rPr>
              <w:rPr>
                <w:rFonts w:hint="default" w:ascii="DejaVu Math TeX Gyre" w:hAnsi="DejaVu Math TeX Gyre"/>
              </w:rPr>
              <m:t>P</m:t>
            </m:r>
            <m:ctrlPr>
              <w:rPr>
                <w:rFonts w:ascii="DejaVu Math TeX Gyre" w:hAnsi="DejaVu Math TeX Gyre"/>
                <w:b/>
                <w:bCs/>
                <w:i/>
                <w:iCs/>
              </w:rPr>
            </m:ctrlPr>
          </m:e>
          <m:sub>
            <m:r>
              <m:rPr>
                <m:sty m:val="bi"/>
              </m:rPr>
              <w:rPr>
                <w:rFonts w:hint="default" w:ascii="DejaVu Math TeX Gyre" w:hAnsi="DejaVu Math TeX Gyre"/>
              </w:rPr>
              <m:t>BS,deep</m:t>
            </m:r>
            <m:ctrlPr>
              <w:rPr>
                <w:rFonts w:ascii="DejaVu Math TeX Gyre" w:hAnsi="DejaVu Math TeX Gyre"/>
                <w:b/>
                <w:bCs/>
                <w:i/>
                <w:iCs/>
              </w:rPr>
            </m:ctrlPr>
          </m:sub>
        </m:sSub>
        <m:r>
          <m:rPr>
            <m:sty m:val="bi"/>
          </m:rPr>
          <w:rPr>
            <w:rFonts w:ascii="DejaVu Math TeX Gyre" w:hAnsi="DejaVu Math TeX Gyre"/>
            <w:lang w:eastAsia="zh-CN"/>
          </w:rPr>
          <m:t>=</m:t>
        </m:r>
        <m:r>
          <m:rPr>
            <m:sty m:val="bi"/>
          </m:rPr>
          <w:rPr>
            <w:rFonts w:hint="default" w:ascii="DejaVu Math TeX Gyre" w:hAnsi="DejaVu Math TeX Gyre"/>
            <w:color w:val="FF0000"/>
            <w:lang w:val="en-US" w:eastAsia="zh-CN"/>
          </w:rPr>
          <m:t>[</m:t>
        </m:r>
        <m:r>
          <m:rPr>
            <m:sty m:val="bi"/>
          </m:rPr>
          <w:rPr>
            <w:rFonts w:hint="default" w:ascii="DejaVu Math TeX Gyre" w:hAnsi="DejaVu Math TeX Gyre"/>
            <w:color w:val="FF0000"/>
            <w:lang w:eastAsia="zh-CN"/>
          </w:rPr>
          <m:t>1.5</m:t>
        </m:r>
        <m:r>
          <m:rPr>
            <m:sty m:val="bi"/>
          </m:rPr>
          <w:rPr>
            <w:rFonts w:hint="default" w:ascii="DejaVu Math TeX Gyre" w:hAnsi="DejaVu Math TeX Gyre"/>
            <w:color w:val="FF0000"/>
            <w:lang w:val="en-US" w:eastAsia="zh-CN"/>
          </w:rPr>
          <m:t>]</m:t>
        </m:r>
        <m:r>
          <m:rPr>
            <m:sty m:val="bi"/>
          </m:rPr>
          <w:rPr>
            <w:rFonts w:ascii="DejaVu Math TeX Gyre" w:hAnsi="DejaVu Math TeX Gyre"/>
            <w:lang w:eastAsia="zh-CN"/>
          </w:rPr>
          <m:t>∗</m:t>
        </m:r>
        <m:sSub>
          <m:sSubPr>
            <m:ctrlPr>
              <w:rPr>
                <w:rFonts w:ascii="DejaVu Math TeX Gyre" w:hAnsi="DejaVu Math TeX Gyre"/>
                <w:b/>
                <w:bCs/>
                <w:i/>
                <w:iCs/>
              </w:rPr>
            </m:ctrlPr>
          </m:sSubPr>
          <m:e>
            <m:r>
              <m:rPr>
                <m:sty m:val="bi"/>
              </m:rPr>
              <w:rPr>
                <w:rFonts w:hint="default" w:ascii="DejaVu Math TeX Gyre" w:hAnsi="DejaVu Math TeX Gyre"/>
                <w:lang w:eastAsia="zh-CN"/>
              </w:rPr>
              <m:t>P</m:t>
            </m:r>
            <m:ctrlPr>
              <w:rPr>
                <w:rFonts w:ascii="DejaVu Math TeX Gyre" w:hAnsi="DejaVu Math TeX Gyre"/>
                <w:b/>
                <w:bCs/>
                <w:i/>
                <w:iCs/>
              </w:rPr>
            </m:ctrlPr>
          </m:e>
          <m:sub>
            <m:r>
              <m:rPr>
                <m:sty m:val="bi"/>
              </m:rPr>
              <w:rPr>
                <w:rFonts w:hint="default" w:ascii="DejaVu Math TeX Gyre" w:hAnsi="DejaVu Math TeX Gyre"/>
                <w:lang w:eastAsia="zh-CN"/>
              </w:rPr>
              <m:t>3</m:t>
            </m:r>
            <m:ctrlPr>
              <w:rPr>
                <w:rFonts w:ascii="DejaVu Math TeX Gyre" w:hAnsi="DejaVu Math TeX Gyre"/>
                <w:b/>
                <w:bCs/>
                <w:i/>
                <w:iCs/>
              </w:rPr>
            </m:ctrlPr>
          </m:sub>
        </m:sSub>
      </m:oMath>
    </w:p>
    <w:p w14:paraId="623E4FF8">
      <w:pPr>
        <w:pStyle w:val="5"/>
      </w:pPr>
    </w:p>
    <w:p w14:paraId="0A31644C">
      <w:pPr>
        <w:pStyle w:val="5"/>
        <w:rPr>
          <w:rFonts w:hint="default"/>
          <w:sz w:val="22"/>
          <w:szCs w:val="22"/>
          <w:lang w:val="en-US" w:eastAsia="zh-CN"/>
        </w:rPr>
      </w:pPr>
      <w:r>
        <w:rPr>
          <w:rFonts w:hint="eastAsia"/>
          <w:sz w:val="22"/>
          <w:szCs w:val="22"/>
          <w:lang w:val="en-US" w:eastAsia="zh-CN"/>
        </w:rPr>
        <w:t>Similarly</w:t>
      </w:r>
      <w:r>
        <w:rPr>
          <w:rFonts w:hint="default"/>
          <w:sz w:val="22"/>
          <w:szCs w:val="22"/>
          <w:lang w:val="en-US" w:eastAsia="zh-CN"/>
        </w:rPr>
        <w:t xml:space="preserve">, the BS power consumption for active UL transmission can be provided. E.g., </w:t>
      </w:r>
    </w:p>
    <w:p w14:paraId="40EFEE24">
      <w:pPr>
        <w:pStyle w:val="5"/>
        <w:rPr>
          <w:rFonts w:hAnsi="Cambria Math"/>
          <w:b w:val="0"/>
          <w:i w:val="0"/>
          <w:sz w:val="22"/>
          <w:szCs w:val="22"/>
        </w:rPr>
      </w:pPr>
      <m:oMathPara>
        <m:oMathParaPr>
          <m:jc m:val="center"/>
        </m:oMathParaPr>
        <m:oMath>
          <m:sSubSup>
            <m:sSubSupPr>
              <m:ctrlPr>
                <w:rPr>
                  <w:rFonts w:ascii="Cambria Math" w:hAnsi="Cambria Math"/>
                  <w:sz w:val="22"/>
                  <w:szCs w:val="22"/>
                </w:rPr>
              </m:ctrlPr>
            </m:sSubSupPr>
            <m:e>
              <m:r>
                <m:rPr/>
                <w:rPr>
                  <w:rFonts w:ascii="Cambria Math" w:hAnsi="Cambria Math"/>
                  <w:sz w:val="22"/>
                  <w:szCs w:val="22"/>
                </w:rPr>
                <m:t>P</m:t>
              </m:r>
              <m:ctrlPr>
                <w:rPr>
                  <w:rFonts w:ascii="Cambria Math" w:hAnsi="Cambria Math"/>
                  <w:sz w:val="22"/>
                  <w:szCs w:val="22"/>
                </w:rPr>
              </m:ctrlPr>
            </m:e>
            <m:sub>
              <m:r>
                <m:rPr>
                  <m:nor/>
                  <m:sty m:val="p"/>
                </m:rPr>
                <w:rPr>
                  <w:b w:val="0"/>
                  <w:i w:val="0"/>
                  <w:sz w:val="22"/>
                  <w:szCs w:val="22"/>
                </w:rPr>
                <m:t>BS</m:t>
              </m:r>
              <m:ctrlPr>
                <w:rPr>
                  <w:rFonts w:ascii="Cambria Math" w:hAnsi="Cambria Math"/>
                  <w:sz w:val="22"/>
                  <w:szCs w:val="22"/>
                </w:rPr>
              </m:ctrlPr>
            </m:sub>
            <m:sup>
              <m:r>
                <m:rPr/>
                <w:rPr>
                  <w:rFonts w:hint="default" w:ascii="DejaVu Math TeX Gyre" w:hAnsi="DejaVu Math TeX Gyre"/>
                  <w:sz w:val="22"/>
                  <w:szCs w:val="22"/>
                  <w:lang w:val="en-US"/>
                </w:rPr>
                <m:t>U</m:t>
              </m:r>
              <m:r>
                <m:rPr/>
                <w:rPr>
                  <w:rFonts w:ascii="Cambria Math" w:hAnsi="Cambria Math"/>
                  <w:sz w:val="22"/>
                  <w:szCs w:val="22"/>
                </w:rPr>
                <m:t>L</m:t>
              </m:r>
              <m:ctrlPr>
                <w:rPr>
                  <w:rFonts w:ascii="Cambria Math" w:hAnsi="Cambria Math"/>
                  <w:sz w:val="22"/>
                  <w:szCs w:val="22"/>
                </w:rPr>
              </m:ctrlPr>
            </m:sup>
          </m:sSubSup>
          <m:r>
            <m:rPr>
              <m:sty m:val="p"/>
            </m:rPr>
            <w:rPr>
              <w:rFonts w:ascii="Cambria Math" w:hAnsi="Cambria Math"/>
              <w:sz w:val="22"/>
              <w:szCs w:val="22"/>
            </w:rPr>
            <m:t>=</m:t>
          </m:r>
          <m:r>
            <m:rPr/>
            <w:rPr>
              <w:rFonts w:ascii="Cambria Math" w:hAnsi="Cambria Math"/>
              <w:sz w:val="22"/>
              <w:szCs w:val="22"/>
            </w:rPr>
            <m:t> </m:t>
          </m:r>
          <m:sSub>
            <m:sSubPr>
              <m:ctrlPr>
                <w:rPr>
                  <w:rFonts w:ascii="Cambria Math" w:hAnsi="Cambria Math"/>
                  <w:sz w:val="22"/>
                  <w:szCs w:val="22"/>
                </w:rPr>
              </m:ctrlPr>
            </m:sSubPr>
            <m:e>
              <m:r>
                <m:rPr/>
                <w:rPr>
                  <w:rFonts w:ascii="Cambria Math" w:hAnsi="Cambria Math"/>
                  <w:sz w:val="22"/>
                  <w:szCs w:val="22"/>
                </w:rPr>
                <m:t>P</m:t>
              </m:r>
              <m:ctrlPr>
                <w:rPr>
                  <w:rFonts w:ascii="Cambria Math" w:hAnsi="Cambria Math"/>
                  <w:sz w:val="22"/>
                  <w:szCs w:val="22"/>
                </w:rPr>
              </m:ctrlPr>
            </m:e>
            <m:sub>
              <m:r>
                <m:rPr/>
                <w:rPr>
                  <w:rFonts w:ascii="Cambria Math" w:hAnsi="Cambria Math"/>
                  <w:sz w:val="22"/>
                  <w:szCs w:val="22"/>
                </w:rPr>
                <m:t>BS</m:t>
              </m:r>
              <m:r>
                <m:rPr>
                  <m:sty m:val="p"/>
                </m:rPr>
                <w:rPr>
                  <w:rFonts w:ascii="Cambria Math" w:hAnsi="Cambria Math"/>
                  <w:sz w:val="22"/>
                  <w:szCs w:val="22"/>
                </w:rPr>
                <m:t>,deep</m:t>
              </m:r>
              <m:ctrlPr>
                <w:rPr>
                  <w:rFonts w:ascii="Cambria Math" w:hAnsi="Cambria Math"/>
                  <w:sz w:val="22"/>
                  <w:szCs w:val="22"/>
                </w:rPr>
              </m:ctrlPr>
            </m:sub>
          </m:sSub>
          <m:r>
            <m:rPr/>
            <w:rPr>
              <w:rFonts w:ascii="Cambria Math" w:hAnsi="Cambria Math"/>
              <w:sz w:val="22"/>
              <w:szCs w:val="22"/>
            </w:rPr>
            <m:t> </m:t>
          </m:r>
          <m:r>
            <m:rPr>
              <m:sty m:val="p"/>
            </m:rPr>
            <w:rPr>
              <w:rFonts w:ascii="Cambria Math" w:hAnsi="Cambria Math"/>
              <w:sz w:val="22"/>
              <w:szCs w:val="22"/>
            </w:rPr>
            <m:t>+</m:t>
          </m:r>
          <m:sSubSup>
            <m:sSubSupPr>
              <m:ctrlPr>
                <w:rPr>
                  <w:rFonts w:ascii="Cambria Math" w:hAnsi="Cambria Math"/>
                  <w:sz w:val="22"/>
                  <w:szCs w:val="22"/>
                </w:rPr>
              </m:ctrlPr>
            </m:sSubSupPr>
            <m:e>
              <m:r>
                <m:rPr/>
                <w:rPr>
                  <w:rFonts w:ascii="Cambria Math" w:hAnsi="Cambria Math"/>
                  <w:sz w:val="22"/>
                  <w:szCs w:val="22"/>
                </w:rPr>
                <m:t>P</m:t>
              </m:r>
              <m:ctrlPr>
                <w:rPr>
                  <w:rFonts w:ascii="Cambria Math" w:hAnsi="Cambria Math"/>
                  <w:sz w:val="22"/>
                  <w:szCs w:val="22"/>
                </w:rPr>
              </m:ctrlPr>
            </m:e>
            <m:sub>
              <m:r>
                <m:rPr>
                  <m:sty m:val="p"/>
                </m:rPr>
                <w:rPr>
                  <w:rFonts w:hint="default" w:ascii="DejaVu Math TeX Gyre" w:hAnsi="DejaVu Math TeX Gyre"/>
                  <w:sz w:val="22"/>
                  <w:szCs w:val="22"/>
                  <w:lang w:val="en-US"/>
                </w:rPr>
                <m:t>dynamic</m:t>
              </m:r>
              <m:ctrlPr>
                <w:rPr>
                  <w:rFonts w:ascii="Cambria Math" w:hAnsi="Cambria Math"/>
                  <w:sz w:val="22"/>
                  <w:szCs w:val="22"/>
                </w:rPr>
              </m:ctrlPr>
            </m:sub>
            <m:sup>
              <m:r>
                <m:rPr/>
                <w:rPr>
                  <w:rFonts w:hint="default" w:ascii="DejaVu Math TeX Gyre" w:hAnsi="DejaVu Math TeX Gyre"/>
                  <w:sz w:val="22"/>
                  <w:szCs w:val="22"/>
                  <w:lang w:val="en-US"/>
                </w:rPr>
                <m:t>U</m:t>
              </m:r>
              <m:r>
                <m:rPr/>
                <w:rPr>
                  <w:rFonts w:ascii="Cambria Math" w:hAnsi="Cambria Math"/>
                  <w:sz w:val="22"/>
                  <w:szCs w:val="22"/>
                </w:rPr>
                <m:t>L</m:t>
              </m:r>
              <m:ctrlPr>
                <w:rPr>
                  <w:rFonts w:ascii="Cambria Math" w:hAnsi="Cambria Math"/>
                  <w:sz w:val="22"/>
                  <w:szCs w:val="22"/>
                </w:rPr>
              </m:ctrlPr>
            </m:sup>
          </m:sSubSup>
          <m:r>
            <m:rPr/>
            <w:rPr>
              <w:rFonts w:ascii="Cambria Math" w:hAnsi="Cambria Math"/>
              <w:sz w:val="22"/>
              <w:szCs w:val="22"/>
            </w:rPr>
            <m:t> </m:t>
          </m:r>
          <m:r>
            <m:rPr>
              <m:sty m:val="p"/>
            </m:rPr>
            <w:rPr>
              <w:rFonts w:ascii="Cambria Math" w:hAnsi="Cambria Math"/>
              <w:sz w:val="22"/>
              <w:szCs w:val="22"/>
            </w:rPr>
            <m:t>.</m:t>
          </m:r>
        </m:oMath>
      </m:oMathPara>
    </w:p>
    <w:p w14:paraId="6295B765">
      <w:pPr>
        <w:pStyle w:val="48"/>
        <w:ind w:left="0" w:leftChars="0" w:firstLine="0" w:firstLineChars="0"/>
        <w:rPr>
          <w:sz w:val="22"/>
          <w:szCs w:val="22"/>
          <w:lang w:eastAsia="zh-CN"/>
        </w:rPr>
      </w:pPr>
      <w:r>
        <w:rPr>
          <w:rFonts w:hint="default" w:hAnsi="Cambria Math"/>
          <w:b w:val="0"/>
          <w:i w:val="0"/>
          <w:sz w:val="22"/>
          <w:szCs w:val="22"/>
          <w:lang w:val="en-US"/>
        </w:rPr>
        <w:t xml:space="preserve">here, </w:t>
      </w:r>
    </w:p>
    <w:p w14:paraId="24A9998D">
      <w:pPr>
        <w:pStyle w:val="49"/>
        <w:rPr>
          <w:sz w:val="22"/>
          <w:szCs w:val="22"/>
          <w:lang w:eastAsia="zh-CN"/>
        </w:rPr>
      </w:pPr>
      <w:r>
        <w:rPr>
          <w:sz w:val="22"/>
          <w:szCs w:val="22"/>
          <w:lang w:eastAsia="zh-CN"/>
        </w:rPr>
        <w:t>-</w:t>
      </w:r>
      <w:r>
        <w:rPr>
          <w:sz w:val="22"/>
          <w:szCs w:val="22"/>
          <w:lang w:eastAsia="zh-CN"/>
        </w:rPr>
        <w:tab/>
      </w:r>
      <m:oMath>
        <m:sSub>
          <m:sSubPr>
            <m:ctrlPr>
              <w:rPr>
                <w:rFonts w:ascii="Cambria Math" w:hAnsi="Cambria Math"/>
                <w:sz w:val="22"/>
                <w:szCs w:val="22"/>
              </w:rPr>
            </m:ctrlPr>
          </m:sSubPr>
          <m:e>
            <m:r>
              <m:rPr/>
              <w:rPr>
                <w:rFonts w:ascii="Cambria Math" w:hAnsi="Cambria Math"/>
                <w:sz w:val="22"/>
                <w:szCs w:val="22"/>
              </w:rPr>
              <m:t>P</m:t>
            </m:r>
            <m:ctrlPr>
              <w:rPr>
                <w:rFonts w:ascii="Cambria Math" w:hAnsi="Cambria Math"/>
                <w:sz w:val="22"/>
                <w:szCs w:val="22"/>
              </w:rPr>
            </m:ctrlPr>
          </m:e>
          <m:sub>
            <m:r>
              <m:rPr/>
              <w:rPr>
                <w:rFonts w:ascii="Cambria Math" w:hAnsi="Cambria Math"/>
                <w:sz w:val="22"/>
                <w:szCs w:val="22"/>
              </w:rPr>
              <m:t>BS,deep</m:t>
            </m:r>
            <m:ctrlPr>
              <w:rPr>
                <w:rFonts w:ascii="Cambria Math" w:hAnsi="Cambria Math"/>
                <w:sz w:val="22"/>
                <w:szCs w:val="22"/>
              </w:rPr>
            </m:ctrlP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w:rPr>
                <w:rFonts w:ascii="Cambria Math" w:hAnsi="Cambria Math"/>
                <w:sz w:val="22"/>
                <w:szCs w:val="22"/>
                <w:lang w:eastAsia="zh-CN"/>
              </w:rPr>
              <m:t>P</m:t>
            </m:r>
            <m:ctrlPr>
              <w:rPr>
                <w:rFonts w:ascii="Cambria Math" w:hAnsi="Cambria Math"/>
                <w:sz w:val="22"/>
                <w:szCs w:val="22"/>
                <w:lang w:eastAsia="zh-CN"/>
              </w:rPr>
            </m:ctrlPr>
          </m:e>
          <m:sub>
            <m:r>
              <m:rPr>
                <m:sty m:val="p"/>
              </m:rPr>
              <w:rPr>
                <w:rFonts w:ascii="Cambria Math" w:hAnsi="Cambria Math"/>
                <w:sz w:val="22"/>
                <w:szCs w:val="22"/>
                <w:lang w:eastAsia="zh-CN"/>
              </w:rPr>
              <m:t>3</m:t>
            </m:r>
            <m:ctrlPr>
              <w:rPr>
                <w:rFonts w:ascii="Cambria Math" w:hAnsi="Cambria Math"/>
                <w:sz w:val="22"/>
                <w:szCs w:val="22"/>
                <w:lang w:eastAsia="zh-CN"/>
              </w:rPr>
            </m:ctrlPr>
          </m:sub>
        </m:sSub>
        <m:r>
          <m:rPr>
            <m:sty m:val="p"/>
          </m:rPr>
          <w:rPr>
            <w:rFonts w:ascii="Cambria Math" w:hAnsi="Cambria Math"/>
            <w:sz w:val="22"/>
            <w:szCs w:val="22"/>
            <w:lang w:eastAsia="zh-CN"/>
          </w:rPr>
          <m:t xml:space="preserve"> </m:t>
        </m:r>
      </m:oMath>
    </w:p>
    <w:p w14:paraId="1974735E">
      <w:pPr>
        <w:pStyle w:val="49"/>
        <w:rPr>
          <w:sz w:val="22"/>
          <w:szCs w:val="22"/>
          <w:lang w:eastAsia="ko-KR"/>
        </w:rPr>
      </w:pPr>
      <w:r>
        <w:rPr>
          <w:sz w:val="22"/>
          <w:szCs w:val="22"/>
          <w:lang w:eastAsia="zh-CN"/>
        </w:rPr>
        <w:t>-</w:t>
      </w:r>
      <w:r>
        <w:rPr>
          <w:sz w:val="22"/>
          <w:szCs w:val="22"/>
          <w:lang w:eastAsia="zh-CN"/>
        </w:rPr>
        <w:tab/>
      </w:r>
      <m:oMath>
        <m:sSubSup>
          <m:sSubSupPr>
            <m:ctrlPr>
              <w:rPr>
                <w:rFonts w:ascii="Cambria Math" w:hAnsi="Cambria Math"/>
                <w:sz w:val="22"/>
                <w:szCs w:val="22"/>
                <w:lang w:eastAsia="zh-CN"/>
              </w:rPr>
            </m:ctrlPr>
          </m:sSubSupPr>
          <m:e>
            <m:r>
              <m:rPr/>
              <w:rPr>
                <w:rFonts w:ascii="Cambria Math" w:hAnsi="Cambria Math"/>
                <w:sz w:val="22"/>
                <w:szCs w:val="22"/>
                <w:lang w:eastAsia="zh-CN"/>
              </w:rPr>
              <m:t>P</m:t>
            </m:r>
            <m:ctrlPr>
              <w:rPr>
                <w:rFonts w:ascii="Cambria Math" w:hAnsi="Cambria Math"/>
                <w:sz w:val="22"/>
                <w:szCs w:val="22"/>
                <w:lang w:eastAsia="zh-CN"/>
              </w:rPr>
            </m:ctrlPr>
          </m:e>
          <m:sub>
            <m:r>
              <m:rPr>
                <m:sty m:val="p"/>
              </m:rPr>
              <w:rPr>
                <w:rFonts w:hint="default" w:ascii="DejaVu Math TeX Gyre" w:hAnsi="DejaVu Math TeX Gyre"/>
                <w:sz w:val="22"/>
                <w:szCs w:val="22"/>
                <w:lang w:val="en-US"/>
              </w:rPr>
              <m:t>dynamic</m:t>
            </m:r>
            <m:ctrlPr>
              <w:rPr>
                <w:rFonts w:ascii="Cambria Math" w:hAnsi="Cambria Math"/>
                <w:sz w:val="22"/>
                <w:szCs w:val="22"/>
                <w:lang w:eastAsia="zh-CN"/>
              </w:rPr>
            </m:ctrlPr>
          </m:sub>
          <m:sup>
            <m:r>
              <m:rPr/>
              <w:rPr>
                <w:rFonts w:ascii="Cambria Math" w:hAnsi="Cambria Math"/>
                <w:sz w:val="22"/>
                <w:szCs w:val="22"/>
                <w:lang w:eastAsia="zh-CN"/>
              </w:rPr>
              <m:t>UL</m:t>
            </m:r>
            <m:ctrlPr>
              <w:rPr>
                <w:rFonts w:ascii="Cambria Math" w:hAnsi="Cambria Math"/>
                <w:sz w:val="22"/>
                <w:szCs w:val="22"/>
                <w:lang w:eastAsia="zh-CN"/>
              </w:rPr>
            </m:ctrlPr>
          </m:sup>
        </m:sSubSup>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w:rPr>
                <w:rFonts w:ascii="Cambria Math" w:hAnsi="Cambria Math"/>
                <w:sz w:val="22"/>
                <w:szCs w:val="22"/>
                <w:lang w:eastAsia="zh-CN"/>
              </w:rPr>
              <m:t>P</m:t>
            </m:r>
            <m:ctrlPr>
              <w:rPr>
                <w:rFonts w:ascii="Cambria Math" w:hAnsi="Cambria Math"/>
                <w:sz w:val="22"/>
                <w:szCs w:val="22"/>
                <w:lang w:eastAsia="zh-CN"/>
              </w:rPr>
            </m:ctrlPr>
          </m:e>
          <m:sub>
            <m:r>
              <m:rPr>
                <m:sty m:val="p"/>
              </m:rPr>
              <w:rPr>
                <w:rFonts w:ascii="Cambria Math" w:hAnsi="Cambria Math"/>
                <w:sz w:val="22"/>
                <w:szCs w:val="22"/>
                <w:lang w:eastAsia="zh-CN"/>
              </w:rPr>
              <m:t>5</m:t>
            </m:r>
            <m:ctrlPr>
              <w:rPr>
                <w:rFonts w:ascii="Cambria Math" w:hAnsi="Cambria Math"/>
                <w:sz w:val="22"/>
                <w:szCs w:val="22"/>
                <w:lang w:eastAsia="zh-CN"/>
              </w:rPr>
            </m:ctrlP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w:rPr>
                <w:rFonts w:ascii="Cambria Math" w:hAnsi="Cambria Math"/>
                <w:sz w:val="22"/>
                <w:szCs w:val="22"/>
                <w:lang w:eastAsia="zh-CN"/>
              </w:rPr>
              <m:t>P</m:t>
            </m:r>
            <m:ctrlPr>
              <w:rPr>
                <w:rFonts w:ascii="Cambria Math" w:hAnsi="Cambria Math"/>
                <w:sz w:val="22"/>
                <w:szCs w:val="22"/>
                <w:lang w:eastAsia="zh-CN"/>
              </w:rPr>
            </m:ctrlPr>
          </m:e>
          <m:sub>
            <m:r>
              <m:rPr>
                <m:sty m:val="p"/>
              </m:rPr>
              <w:rPr>
                <w:rFonts w:ascii="Cambria Math" w:hAnsi="Cambria Math"/>
                <w:sz w:val="22"/>
                <w:szCs w:val="22"/>
                <w:lang w:eastAsia="zh-CN"/>
              </w:rPr>
              <m:t>3</m:t>
            </m:r>
            <m:ctrlPr>
              <w:rPr>
                <w:rFonts w:ascii="Cambria Math" w:hAnsi="Cambria Math"/>
                <w:sz w:val="22"/>
                <w:szCs w:val="22"/>
                <w:lang w:eastAsia="zh-CN"/>
              </w:rPr>
            </m:ctrlPr>
          </m:sub>
        </m:sSub>
      </m:oMath>
      <w:r>
        <w:rPr>
          <w:sz w:val="22"/>
          <w:szCs w:val="22"/>
          <w:lang w:eastAsia="zh-CN"/>
        </w:rPr>
        <w:t xml:space="preserve"> when no scaling is applied (i.e. scaling factor is 1).</w:t>
      </w:r>
    </w:p>
    <w:p w14:paraId="3039BD28">
      <w:pPr>
        <w:pStyle w:val="5"/>
        <w:rPr>
          <w:rFonts w:hint="default" w:hAnsi="Cambria Math"/>
          <w:b w:val="0"/>
          <w:i w:val="0"/>
          <w:lang w:val="en-US" w:eastAsia="zh-CN"/>
        </w:rPr>
      </w:pPr>
    </w:p>
    <w:p w14:paraId="05C5A24C">
      <w:pPr>
        <w:pStyle w:val="85"/>
        <w:rPr>
          <w:rFonts w:hint="default" w:ascii="Times New Roman Bold Italic" w:hAnsi="Times New Roman Bold Italic" w:eastAsia="宋体" w:cs="Times New Roman Bold Italic"/>
          <w:b/>
          <w:bCs/>
          <w:i/>
          <w:iCs/>
          <w:sz w:val="22"/>
          <w:szCs w:val="22"/>
          <w:lang w:val="en-US" w:eastAsia="zh-CN"/>
        </w:rPr>
      </w:pPr>
      <w:r>
        <w:rPr>
          <w:rFonts w:hint="default" w:ascii="Times New Roman Bold Italic" w:hAnsi="Times New Roman Bold Italic" w:cs="Times New Roman Bold Italic"/>
          <w:b/>
          <w:bCs/>
          <w:i/>
          <w:iCs/>
          <w:sz w:val="22"/>
          <w:szCs w:val="22"/>
          <w:lang w:val="en-US" w:eastAsia="zh-CN"/>
        </w:rPr>
        <w:t>Observation 13: No need to correct the BS power consumption model for active UL transmission.</w:t>
      </w:r>
    </w:p>
    <w:p w14:paraId="11C26182">
      <w:pPr>
        <w:pStyle w:val="85"/>
        <w:rPr>
          <w:rFonts w:hint="eastAsia"/>
          <w:lang w:val="en-US" w:eastAsia="zh-CN"/>
        </w:rPr>
      </w:pPr>
    </w:p>
    <w:p w14:paraId="120C209B">
      <w:pPr>
        <w:pStyle w:val="85"/>
        <w:rPr>
          <w:rFonts w:hint="default"/>
          <w:sz w:val="22"/>
          <w:szCs w:val="22"/>
          <w:lang w:val="en-US" w:eastAsia="zh-CN"/>
        </w:rPr>
      </w:pPr>
      <w:r>
        <w:rPr>
          <w:rFonts w:hint="default"/>
          <w:sz w:val="22"/>
          <w:szCs w:val="22"/>
          <w:lang w:val="en-US" w:eastAsia="zh-CN"/>
        </w:rPr>
        <w:t xml:space="preserve">In additional, the BW power consumption for </w:t>
      </w:r>
      <w:r>
        <w:rPr>
          <w:rFonts w:hint="eastAsia"/>
          <w:sz w:val="22"/>
          <w:szCs w:val="22"/>
          <w:lang w:val="en-US" w:eastAsia="zh-CN"/>
        </w:rPr>
        <w:t xml:space="preserve">active </w:t>
      </w:r>
      <w:r>
        <w:rPr>
          <w:rFonts w:hint="default"/>
          <w:sz w:val="22"/>
          <w:szCs w:val="22"/>
          <w:lang w:val="en-US" w:eastAsia="zh-CN"/>
        </w:rPr>
        <w:t xml:space="preserve">LPR can be considered like </w:t>
      </w:r>
    </w:p>
    <w:p w14:paraId="1298FE4E">
      <w:pPr>
        <w:pStyle w:val="85"/>
        <w:jc w:val="center"/>
        <w:rPr>
          <w:rFonts w:hAnsi="Cambria Math"/>
          <w:i w:val="0"/>
          <w:sz w:val="22"/>
          <w:szCs w:val="22"/>
        </w:rPr>
      </w:pPr>
      <m:oMathPara>
        <m:oMathParaPr>
          <m:jc m:val="center"/>
        </m:oMathParaPr>
        <m:oMath>
          <m:sSubSup>
            <m:sSubSupPr>
              <m:ctrlPr>
                <w:rPr>
                  <w:rFonts w:ascii="Cambria Math" w:hAnsi="Cambria Math"/>
                  <w:sz w:val="22"/>
                  <w:szCs w:val="22"/>
                </w:rPr>
              </m:ctrlPr>
            </m:sSubSupPr>
            <m:e>
              <m:r>
                <m:rPr/>
                <w:rPr>
                  <w:rFonts w:ascii="Cambria Math" w:hAnsi="Cambria Math"/>
                  <w:sz w:val="22"/>
                  <w:szCs w:val="22"/>
                </w:rPr>
                <m:t>P</m:t>
              </m:r>
              <m:ctrlPr>
                <w:rPr>
                  <w:rFonts w:ascii="Cambria Math" w:hAnsi="Cambria Math"/>
                  <w:sz w:val="22"/>
                  <w:szCs w:val="22"/>
                </w:rPr>
              </m:ctrlPr>
            </m:e>
            <m:sub>
              <m:r>
                <m:rPr>
                  <m:nor/>
                  <m:sty m:val="p"/>
                </m:rPr>
                <w:rPr>
                  <w:b w:val="0"/>
                  <w:i w:val="0"/>
                  <w:sz w:val="22"/>
                  <w:szCs w:val="22"/>
                </w:rPr>
                <m:t>BS</m:t>
              </m:r>
              <m:ctrlPr>
                <w:rPr>
                  <w:rFonts w:ascii="Cambria Math" w:hAnsi="Cambria Math"/>
                  <w:sz w:val="22"/>
                  <w:szCs w:val="22"/>
                </w:rPr>
              </m:ctrlPr>
            </m:sub>
            <m:sup>
              <m:r>
                <m:rPr/>
                <w:rPr>
                  <w:rFonts w:hint="default" w:ascii="DejaVu Math TeX Gyre" w:hAnsi="DejaVu Math TeX Gyre"/>
                  <w:sz w:val="22"/>
                  <w:szCs w:val="22"/>
                  <w:lang w:val="en-US"/>
                </w:rPr>
                <m:t>LPR</m:t>
              </m:r>
              <m:ctrlPr>
                <w:rPr>
                  <w:rFonts w:ascii="Cambria Math" w:hAnsi="Cambria Math"/>
                  <w:sz w:val="22"/>
                  <w:szCs w:val="22"/>
                </w:rPr>
              </m:ctrlPr>
            </m:sup>
          </m:sSubSup>
          <m:r>
            <m:rPr>
              <m:sty m:val="p"/>
            </m:rPr>
            <w:rPr>
              <w:rFonts w:ascii="Cambria Math" w:hAnsi="Cambria Math"/>
              <w:sz w:val="22"/>
              <w:szCs w:val="22"/>
            </w:rPr>
            <m:t>=</m:t>
          </m:r>
          <m:r>
            <m:rPr/>
            <w:rPr>
              <w:rFonts w:ascii="Cambria Math" w:hAnsi="Cambria Math"/>
              <w:sz w:val="22"/>
              <w:szCs w:val="22"/>
            </w:rPr>
            <m:t> </m:t>
          </m:r>
          <m:sSub>
            <m:sSubPr>
              <m:ctrlPr>
                <w:rPr>
                  <w:rFonts w:ascii="Cambria Math" w:hAnsi="Cambria Math"/>
                  <w:sz w:val="22"/>
                  <w:szCs w:val="22"/>
                </w:rPr>
              </m:ctrlPr>
            </m:sSubPr>
            <m:e>
              <m:r>
                <m:rPr/>
                <w:rPr>
                  <w:rFonts w:ascii="Cambria Math" w:hAnsi="Cambria Math"/>
                  <w:sz w:val="22"/>
                  <w:szCs w:val="22"/>
                </w:rPr>
                <m:t>P</m:t>
              </m:r>
              <m:ctrlPr>
                <w:rPr>
                  <w:rFonts w:ascii="Cambria Math" w:hAnsi="Cambria Math"/>
                  <w:sz w:val="22"/>
                  <w:szCs w:val="22"/>
                </w:rPr>
              </m:ctrlPr>
            </m:e>
            <m:sub>
              <m:r>
                <m:rPr/>
                <w:rPr>
                  <w:rFonts w:ascii="Cambria Math" w:hAnsi="Cambria Math"/>
                  <w:sz w:val="22"/>
                  <w:szCs w:val="22"/>
                </w:rPr>
                <m:t>BS</m:t>
              </m:r>
              <m:r>
                <m:rPr>
                  <m:sty m:val="p"/>
                </m:rPr>
                <w:rPr>
                  <w:rFonts w:ascii="Cambria Math" w:hAnsi="Cambria Math"/>
                  <w:sz w:val="22"/>
                  <w:szCs w:val="22"/>
                </w:rPr>
                <m:t>,deep</m:t>
              </m:r>
              <m:ctrlPr>
                <w:rPr>
                  <w:rFonts w:ascii="Cambria Math" w:hAnsi="Cambria Math"/>
                  <w:sz w:val="22"/>
                  <w:szCs w:val="22"/>
                </w:rPr>
              </m:ctrlPr>
            </m:sub>
          </m:sSub>
          <m:r>
            <m:rPr/>
            <w:rPr>
              <w:rFonts w:ascii="Cambria Math" w:hAnsi="Cambria Math"/>
              <w:sz w:val="22"/>
              <w:szCs w:val="22"/>
            </w:rPr>
            <m:t> </m:t>
          </m:r>
          <m:r>
            <m:rPr>
              <m:sty m:val="p"/>
            </m:rPr>
            <w:rPr>
              <w:rFonts w:ascii="Cambria Math" w:hAnsi="Cambria Math"/>
              <w:sz w:val="22"/>
              <w:szCs w:val="22"/>
            </w:rPr>
            <m:t>+</m:t>
          </m:r>
          <m:sSubSup>
            <m:sSubSupPr>
              <m:ctrlPr>
                <w:rPr>
                  <w:rFonts w:ascii="Cambria Math" w:hAnsi="Cambria Math"/>
                  <w:sz w:val="22"/>
                  <w:szCs w:val="22"/>
                </w:rPr>
              </m:ctrlPr>
            </m:sSubSupPr>
            <m:e>
              <m:r>
                <m:rPr/>
                <w:rPr>
                  <w:rFonts w:ascii="Cambria Math" w:hAnsi="Cambria Math"/>
                  <w:sz w:val="22"/>
                  <w:szCs w:val="22"/>
                </w:rPr>
                <m:t>P</m:t>
              </m:r>
              <m:ctrlPr>
                <w:rPr>
                  <w:rFonts w:ascii="Cambria Math" w:hAnsi="Cambria Math"/>
                  <w:sz w:val="22"/>
                  <w:szCs w:val="22"/>
                </w:rPr>
              </m:ctrlPr>
            </m:e>
            <m:sub>
              <m:r>
                <m:rPr>
                  <m:sty m:val="p"/>
                </m:rPr>
                <w:rPr>
                  <w:rFonts w:hint="default" w:ascii="DejaVu Math TeX Gyre" w:hAnsi="DejaVu Math TeX Gyre"/>
                  <w:sz w:val="22"/>
                  <w:szCs w:val="22"/>
                  <w:lang w:val="en-US"/>
                </w:rPr>
                <m:t>dynamic</m:t>
              </m:r>
              <m:ctrlPr>
                <w:rPr>
                  <w:rFonts w:ascii="Cambria Math" w:hAnsi="Cambria Math"/>
                  <w:sz w:val="22"/>
                  <w:szCs w:val="22"/>
                </w:rPr>
              </m:ctrlPr>
            </m:sub>
            <m:sup>
              <m:r>
                <m:rPr/>
                <w:rPr>
                  <w:rFonts w:hint="default" w:ascii="DejaVu Math TeX Gyre" w:hAnsi="DejaVu Math TeX Gyre"/>
                  <w:sz w:val="22"/>
                  <w:szCs w:val="22"/>
                  <w:lang w:val="en-US"/>
                </w:rPr>
                <m:t>LPR</m:t>
              </m:r>
              <m:ctrlPr>
                <w:rPr>
                  <w:rFonts w:ascii="Cambria Math" w:hAnsi="Cambria Math"/>
                  <w:sz w:val="22"/>
                  <w:szCs w:val="22"/>
                </w:rPr>
              </m:ctrlPr>
            </m:sup>
          </m:sSubSup>
          <m:r>
            <m:rPr/>
            <w:rPr>
              <w:rFonts w:ascii="Cambria Math" w:hAnsi="Cambria Math"/>
              <w:sz w:val="22"/>
              <w:szCs w:val="22"/>
            </w:rPr>
            <m:t> </m:t>
          </m:r>
        </m:oMath>
      </m:oMathPara>
    </w:p>
    <w:p w14:paraId="20A47C4C">
      <w:pPr>
        <w:pStyle w:val="5"/>
        <w:rPr>
          <w:rFonts w:hint="default" w:hAnsi="Cambria Math"/>
          <w:i w:val="0"/>
          <w:sz w:val="22"/>
          <w:szCs w:val="22"/>
          <w:lang w:val="en-US"/>
        </w:rPr>
      </w:pPr>
      <w:r>
        <w:rPr>
          <w:rFonts w:hint="default" w:hAnsi="Cambria Math"/>
          <w:i w:val="0"/>
          <w:sz w:val="22"/>
          <w:szCs w:val="22"/>
          <w:lang w:val="en-US"/>
        </w:rPr>
        <w:t xml:space="preserve">Also, </w:t>
      </w:r>
      <m:oMath>
        <m:sSub>
          <m:sSubPr>
            <m:ctrlPr>
              <w:rPr>
                <w:rFonts w:ascii="Cambria Math" w:hAnsi="Cambria Math"/>
                <w:sz w:val="22"/>
                <w:szCs w:val="22"/>
              </w:rPr>
            </m:ctrlPr>
          </m:sSubPr>
          <m:e>
            <m:r>
              <m:rPr/>
              <w:rPr>
                <w:rFonts w:ascii="Cambria Math" w:hAnsi="Cambria Math"/>
                <w:sz w:val="22"/>
                <w:szCs w:val="22"/>
              </w:rPr>
              <m:t>P</m:t>
            </m:r>
            <m:ctrlPr>
              <w:rPr>
                <w:rFonts w:ascii="Cambria Math" w:hAnsi="Cambria Math"/>
                <w:sz w:val="22"/>
                <w:szCs w:val="22"/>
              </w:rPr>
            </m:ctrlPr>
          </m:e>
          <m:sub>
            <m:r>
              <m:rPr/>
              <w:rPr>
                <w:rFonts w:ascii="Cambria Math" w:hAnsi="Cambria Math"/>
                <w:sz w:val="22"/>
                <w:szCs w:val="22"/>
              </w:rPr>
              <m:t>BS,deep</m:t>
            </m:r>
            <m:ctrlPr>
              <w:rPr>
                <w:rFonts w:ascii="Cambria Math" w:hAnsi="Cambria Math"/>
                <w:sz w:val="22"/>
                <w:szCs w:val="22"/>
              </w:rPr>
            </m:ctrlP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w:rPr>
                <w:rFonts w:ascii="Cambria Math" w:hAnsi="Cambria Math"/>
                <w:sz w:val="22"/>
                <w:szCs w:val="22"/>
                <w:lang w:eastAsia="zh-CN"/>
              </w:rPr>
              <m:t>P</m:t>
            </m:r>
            <m:ctrlPr>
              <w:rPr>
                <w:rFonts w:ascii="Cambria Math" w:hAnsi="Cambria Math"/>
                <w:sz w:val="22"/>
                <w:szCs w:val="22"/>
                <w:lang w:eastAsia="zh-CN"/>
              </w:rPr>
            </m:ctrlPr>
          </m:e>
          <m:sub>
            <m:r>
              <m:rPr>
                <m:sty m:val="p"/>
              </m:rPr>
              <w:rPr>
                <w:rFonts w:ascii="Cambria Math" w:hAnsi="Cambria Math"/>
                <w:sz w:val="22"/>
                <w:szCs w:val="22"/>
                <w:lang w:eastAsia="zh-CN"/>
              </w:rPr>
              <m:t>3</m:t>
            </m:r>
            <m:ctrlPr>
              <w:rPr>
                <w:rFonts w:ascii="Cambria Math" w:hAnsi="Cambria Math"/>
                <w:sz w:val="22"/>
                <w:szCs w:val="22"/>
                <w:lang w:eastAsia="zh-CN"/>
              </w:rPr>
            </m:ctrlPr>
          </m:sub>
        </m:sSub>
        <m:r>
          <m:rPr>
            <m:sty m:val="p"/>
          </m:rPr>
          <w:rPr>
            <w:rFonts w:ascii="Cambria Math" w:hAnsi="Cambria Math"/>
            <w:sz w:val="22"/>
            <w:szCs w:val="22"/>
            <w:lang w:eastAsia="zh-CN"/>
          </w:rPr>
          <m:t xml:space="preserve"> </m:t>
        </m:r>
      </m:oMath>
      <w:r>
        <w:rPr>
          <w:rFonts w:hint="default" w:hAnsi="Cambria Math"/>
          <w:b w:val="0"/>
          <w:i w:val="0"/>
          <w:sz w:val="22"/>
          <w:szCs w:val="22"/>
          <w:lang w:val="en-US" w:eastAsia="zh-CN"/>
        </w:rPr>
        <w:t xml:space="preserve"> as baseline, and FFS </w:t>
      </w:r>
      <m:oMath>
        <m:sSubSup>
          <m:sSubSupPr>
            <m:ctrlPr>
              <w:rPr>
                <w:rFonts w:ascii="Cambria Math" w:hAnsi="Cambria Math"/>
                <w:sz w:val="22"/>
                <w:szCs w:val="22"/>
              </w:rPr>
            </m:ctrlPr>
          </m:sSubSupPr>
          <m:e>
            <m:r>
              <m:rPr/>
              <w:rPr>
                <w:rFonts w:ascii="Cambria Math" w:hAnsi="Cambria Math"/>
                <w:sz w:val="22"/>
                <w:szCs w:val="22"/>
              </w:rPr>
              <m:t>P</m:t>
            </m:r>
            <m:ctrlPr>
              <w:rPr>
                <w:rFonts w:ascii="Cambria Math" w:hAnsi="Cambria Math"/>
                <w:sz w:val="22"/>
                <w:szCs w:val="22"/>
              </w:rPr>
            </m:ctrlPr>
          </m:e>
          <m:sub>
            <m:r>
              <m:rPr>
                <m:sty m:val="p"/>
              </m:rPr>
              <w:rPr>
                <w:rFonts w:hint="default" w:ascii="DejaVu Math TeX Gyre" w:hAnsi="DejaVu Math TeX Gyre"/>
                <w:sz w:val="22"/>
                <w:szCs w:val="22"/>
                <w:lang w:val="en-US"/>
              </w:rPr>
              <m:t>dynamic</m:t>
            </m:r>
            <m:ctrlPr>
              <w:rPr>
                <w:rFonts w:ascii="Cambria Math" w:hAnsi="Cambria Math"/>
                <w:sz w:val="22"/>
                <w:szCs w:val="22"/>
              </w:rPr>
            </m:ctrlPr>
          </m:sub>
          <m:sup>
            <m:r>
              <m:rPr/>
              <w:rPr>
                <w:rFonts w:hint="default" w:ascii="DejaVu Math TeX Gyre" w:hAnsi="DejaVu Math TeX Gyre"/>
                <w:sz w:val="22"/>
                <w:szCs w:val="22"/>
                <w:lang w:val="en-US"/>
              </w:rPr>
              <m:t>LPR</m:t>
            </m:r>
            <m:ctrlPr>
              <w:rPr>
                <w:rFonts w:ascii="Cambria Math" w:hAnsi="Cambria Math"/>
                <w:sz w:val="22"/>
                <w:szCs w:val="22"/>
              </w:rPr>
            </m:ctrlPr>
          </m:sup>
        </m:sSubSup>
      </m:oMath>
      <w:r>
        <w:rPr>
          <w:rFonts w:hint="default" w:hAnsi="Cambria Math"/>
          <w:i w:val="0"/>
          <w:sz w:val="22"/>
          <w:szCs w:val="22"/>
          <w:lang w:val="en-US"/>
        </w:rPr>
        <w:t xml:space="preserve"> if supported.</w:t>
      </w:r>
    </w:p>
    <w:p w14:paraId="58F983CA">
      <w:pPr>
        <w:pStyle w:val="5"/>
        <w:rPr>
          <w:rFonts w:hint="default" w:hAnsi="Cambria Math"/>
          <w:b/>
          <w:bCs/>
          <w:i/>
          <w:iCs/>
          <w:sz w:val="22"/>
          <w:szCs w:val="22"/>
          <w:lang w:val="en-US"/>
        </w:rPr>
      </w:pPr>
      <w:r>
        <w:rPr>
          <w:rFonts w:hint="default" w:hAnsi="Cambria Math"/>
          <w:b/>
          <w:bCs/>
          <w:i/>
          <w:iCs/>
          <w:sz w:val="22"/>
          <w:szCs w:val="22"/>
          <w:lang w:val="en-US"/>
        </w:rPr>
        <w:t xml:space="preserve">Proposal 13: </w:t>
      </w:r>
      <w:r>
        <w:rPr>
          <w:rFonts w:hint="default" w:ascii="Times New Roman Bold Italic" w:hAnsi="Times New Roman Bold Italic" w:cs="Times New Roman Bold Italic"/>
          <w:b/>
          <w:bCs/>
          <w:i/>
          <w:iCs/>
          <w:sz w:val="22"/>
          <w:szCs w:val="22"/>
          <w:lang w:val="en-US"/>
        </w:rPr>
        <w:t xml:space="preserve">Based on TR 38.864, for </w:t>
      </w:r>
      <w:r>
        <w:rPr>
          <w:rFonts w:hint="default" w:ascii="Times New Roman Bold Italic" w:hAnsi="Times New Roman Bold Italic" w:cs="Times New Roman Bold Italic"/>
          <w:b/>
          <w:bCs/>
          <w:i/>
          <w:iCs/>
          <w:sz w:val="22"/>
          <w:szCs w:val="22"/>
          <w:lang w:val="en-US" w:eastAsia="zh-CN"/>
        </w:rPr>
        <w:t>the BS power consumption model for</w:t>
      </w:r>
      <w:r>
        <w:rPr>
          <w:rFonts w:hint="default" w:hAnsi="Cambria Math"/>
          <w:b/>
          <w:bCs/>
          <w:i/>
          <w:iCs/>
          <w:sz w:val="22"/>
          <w:szCs w:val="22"/>
          <w:lang w:val="en-US"/>
        </w:rPr>
        <w:t xml:space="preserve"> DL/UL/LPR transmission, consider following models as baseline</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62"/>
        <w:gridCol w:w="7371"/>
      </w:tblGrid>
      <w:tr w14:paraId="4E46DE6B">
        <w:tc>
          <w:tcPr>
            <w:tcW w:w="2162" w:type="dxa"/>
          </w:tcPr>
          <w:p w14:paraId="1DDE9BA5">
            <w:pPr>
              <w:pStyle w:val="5"/>
              <w:widowControl w:val="0"/>
              <w:rPr>
                <w:rFonts w:hint="default" w:hAnsi="Cambria Math"/>
                <w:i w:val="0"/>
                <w:vertAlign w:val="baseline"/>
                <w:lang w:val="en-US" w:eastAsia="zh-CN"/>
              </w:rPr>
            </w:pPr>
            <w:r>
              <w:rPr>
                <w:rFonts w:hint="eastAsia"/>
                <w:b/>
                <w:bCs/>
                <w:i/>
                <w:iCs/>
                <w:lang w:val="en-US" w:eastAsia="zh-CN"/>
              </w:rPr>
              <w:t>A</w:t>
            </w:r>
            <w:r>
              <w:rPr>
                <w:rFonts w:hint="default"/>
                <w:b/>
                <w:bCs/>
                <w:i/>
                <w:iCs/>
                <w:lang w:val="en-US" w:eastAsia="zh-CN"/>
              </w:rPr>
              <w:t>ctive DL transmission</w:t>
            </w:r>
          </w:p>
        </w:tc>
        <w:tc>
          <w:tcPr>
            <w:tcW w:w="7371" w:type="dxa"/>
          </w:tcPr>
          <w:p w14:paraId="11A1F080">
            <w:pPr>
              <w:pStyle w:val="5"/>
              <w:widowControl w:val="0"/>
              <w:rPr>
                <w:b/>
                <w:bCs/>
                <w:i/>
                <w:iCs/>
              </w:rPr>
            </w:pPr>
            <m:oMathPara>
              <m:oMathParaPr>
                <m:jc m:val="left"/>
              </m:oMathParaPr>
              <m:oMath>
                <m:sSubSup>
                  <m:sSubSupPr>
                    <m:ctrlPr>
                      <w:rPr>
                        <w:rFonts w:ascii="DejaVu Math TeX Gyre" w:hAnsi="DejaVu Math TeX Gyre"/>
                        <w:b/>
                        <w:bCs/>
                        <w:i/>
                        <w:iCs/>
                      </w:rPr>
                    </m:ctrlPr>
                  </m:sSubSupPr>
                  <m:e>
                    <m:r>
                      <m:rPr>
                        <m:sty m:val="bi"/>
                      </m:rPr>
                      <w:rPr>
                        <w:rFonts w:hint="default" w:ascii="DejaVu Math TeX Gyre" w:hAnsi="DejaVu Math TeX Gyre"/>
                      </w:rPr>
                      <m:t>P</m:t>
                    </m:r>
                    <m:ctrlPr>
                      <w:rPr>
                        <w:rFonts w:ascii="DejaVu Math TeX Gyre" w:hAnsi="DejaVu Math TeX Gyre"/>
                        <w:b/>
                        <w:bCs/>
                        <w:i/>
                        <w:iCs/>
                      </w:rPr>
                    </m:ctrlPr>
                  </m:e>
                  <m:sub>
                    <m:r>
                      <m:rPr>
                        <m:nor/>
                        <m:sty m:val="bi"/>
                      </m:rPr>
                      <w:rPr>
                        <w:rFonts w:ascii="DejaVu Math TeX Gyre" w:hAnsi="DejaVu Math TeX Gyre"/>
                        <w:b/>
                        <w:bCs/>
                        <w:i/>
                        <w:iCs/>
                      </w:rPr>
                      <m:t>BS</m:t>
                    </m:r>
                    <m:ctrlPr>
                      <w:rPr>
                        <w:rFonts w:ascii="DejaVu Math TeX Gyre" w:hAnsi="DejaVu Math TeX Gyre"/>
                        <w:b/>
                        <w:bCs/>
                        <w:i/>
                        <w:iCs/>
                      </w:rPr>
                    </m:ctrlPr>
                  </m:sub>
                  <m:sup>
                    <m:r>
                      <m:rPr>
                        <m:sty m:val="bi"/>
                      </m:rPr>
                      <w:rPr>
                        <w:rFonts w:hint="default" w:ascii="DejaVu Math TeX Gyre" w:hAnsi="DejaVu Math TeX Gyre"/>
                      </w:rPr>
                      <m:t>DL</m:t>
                    </m:r>
                    <m:ctrlPr>
                      <w:rPr>
                        <w:rFonts w:ascii="DejaVu Math TeX Gyre" w:hAnsi="DejaVu Math TeX Gyre"/>
                        <w:b/>
                        <w:bCs/>
                        <w:i/>
                        <w:iCs/>
                      </w:rPr>
                    </m:ctrlPr>
                  </m:sup>
                </m:sSubSup>
                <m:r>
                  <m:rPr>
                    <m:sty m:val="bi"/>
                  </m:rPr>
                  <w:rPr>
                    <w:rFonts w:ascii="DejaVu Math TeX Gyre" w:hAnsi="DejaVu Math TeX Gyre"/>
                  </w:rPr>
                  <m:t> = </m:t>
                </m:r>
                <m:sSub>
                  <m:sSubPr>
                    <m:ctrlPr>
                      <w:rPr>
                        <w:rFonts w:ascii="DejaVu Math TeX Gyre" w:hAnsi="DejaVu Math TeX Gyre"/>
                        <w:b/>
                        <w:bCs/>
                        <w:i/>
                        <w:iCs/>
                      </w:rPr>
                    </m:ctrlPr>
                  </m:sSubPr>
                  <m:e>
                    <m:r>
                      <m:rPr>
                        <m:sty m:val="bi"/>
                      </m:rPr>
                      <w:rPr>
                        <w:rFonts w:hint="default" w:ascii="DejaVu Math TeX Gyre" w:hAnsi="DejaVu Math TeX Gyre"/>
                      </w:rPr>
                      <m:t>P</m:t>
                    </m:r>
                    <m:ctrlPr>
                      <w:rPr>
                        <w:rFonts w:ascii="DejaVu Math TeX Gyre" w:hAnsi="DejaVu Math TeX Gyre"/>
                        <w:b/>
                        <w:bCs/>
                        <w:i/>
                        <w:iCs/>
                      </w:rPr>
                    </m:ctrlPr>
                  </m:e>
                  <m:sub>
                    <m:r>
                      <m:rPr>
                        <m:sty m:val="bi"/>
                      </m:rPr>
                      <w:rPr>
                        <w:rFonts w:hint="default" w:ascii="DejaVu Math TeX Gyre" w:hAnsi="DejaVu Math TeX Gyre"/>
                      </w:rPr>
                      <m:t>BS,deep</m:t>
                    </m:r>
                    <m:ctrlPr>
                      <w:rPr>
                        <w:rFonts w:ascii="DejaVu Math TeX Gyre" w:hAnsi="DejaVu Math TeX Gyre"/>
                        <w:b/>
                        <w:bCs/>
                        <w:i/>
                        <w:iCs/>
                      </w:rPr>
                    </m:ctrlPr>
                  </m:sub>
                </m:sSub>
                <m:r>
                  <m:rPr>
                    <m:sty m:val="bi"/>
                  </m:rPr>
                  <w:rPr>
                    <w:rFonts w:ascii="DejaVu Math TeX Gyre" w:hAnsi="DejaVu Math TeX Gyre"/>
                  </w:rPr>
                  <m:t> + </m:t>
                </m:r>
                <m:d>
                  <m:dPr>
                    <m:ctrlPr>
                      <w:rPr>
                        <w:rFonts w:ascii="DejaVu Math TeX Gyre" w:hAnsi="DejaVu Math TeX Gyre"/>
                        <w:b/>
                        <w:bCs/>
                        <w:i/>
                        <w:iCs/>
                      </w:rPr>
                    </m:ctrlPr>
                  </m:dPr>
                  <m:e>
                    <m:sSub>
                      <m:sSubPr>
                        <m:ctrlPr>
                          <w:rPr>
                            <w:rFonts w:ascii="DejaVu Math TeX Gyre" w:hAnsi="DejaVu Math TeX Gyre"/>
                            <w:b/>
                            <w:bCs/>
                            <w:i/>
                            <w:iCs/>
                          </w:rPr>
                        </m:ctrlPr>
                      </m:sSubPr>
                      <m:e>
                        <m:r>
                          <m:rPr>
                            <m:sty m:val="bi"/>
                          </m:rPr>
                          <w:rPr>
                            <w:rFonts w:hint="default" w:ascii="DejaVu Math TeX Gyre" w:hAnsi="DejaVu Math TeX Gyre"/>
                          </w:rPr>
                          <m:t>P</m:t>
                        </m:r>
                        <m:ctrlPr>
                          <w:rPr>
                            <w:rFonts w:ascii="DejaVu Math TeX Gyre" w:hAnsi="DejaVu Math TeX Gyre"/>
                            <w:b/>
                            <w:bCs/>
                            <w:i/>
                            <w:iCs/>
                          </w:rPr>
                        </m:ctrlPr>
                      </m:e>
                      <m:sub>
                        <m:r>
                          <m:rPr>
                            <m:sty m:val="bi"/>
                          </m:rPr>
                          <w:rPr>
                            <w:rFonts w:hint="default" w:ascii="DejaVu Math TeX Gyre" w:hAnsi="DejaVu Math TeX Gyre"/>
                          </w:rPr>
                          <m:t>BS,DL(full)</m:t>
                        </m:r>
                        <m:ctrlPr>
                          <w:rPr>
                            <w:rFonts w:ascii="DejaVu Math TeX Gyre" w:hAnsi="DejaVu Math TeX Gyre"/>
                            <w:b/>
                            <w:bCs/>
                            <w:i/>
                            <w:iCs/>
                          </w:rPr>
                        </m:ctrlPr>
                      </m:sub>
                    </m:sSub>
                    <m:r>
                      <m:rPr>
                        <m:sty m:val="bi"/>
                      </m:rPr>
                      <w:rPr>
                        <w:rFonts w:ascii="DejaVu Math TeX Gyre" w:hAnsi="DejaVu Math TeX Gyre"/>
                      </w:rPr>
                      <m:t>−</m:t>
                    </m:r>
                    <m:sSub>
                      <m:sSubPr>
                        <m:ctrlPr>
                          <w:rPr>
                            <w:rFonts w:ascii="DejaVu Math TeX Gyre" w:hAnsi="DejaVu Math TeX Gyre"/>
                            <w:b/>
                            <w:bCs/>
                            <w:i/>
                            <w:iCs/>
                          </w:rPr>
                        </m:ctrlPr>
                      </m:sSubPr>
                      <m:e>
                        <m:r>
                          <m:rPr>
                            <m:sty m:val="bi"/>
                          </m:rPr>
                          <w:rPr>
                            <w:rFonts w:hint="default" w:ascii="DejaVu Math TeX Gyre" w:hAnsi="DejaVu Math TeX Gyre"/>
                          </w:rPr>
                          <m:t>P</m:t>
                        </m:r>
                        <m:ctrlPr>
                          <w:rPr>
                            <w:rFonts w:ascii="DejaVu Math TeX Gyre" w:hAnsi="DejaVu Math TeX Gyre"/>
                            <w:b/>
                            <w:bCs/>
                            <w:i/>
                            <w:iCs/>
                          </w:rPr>
                        </m:ctrlPr>
                      </m:e>
                      <m:sub>
                        <m:r>
                          <m:rPr>
                            <m:sty m:val="bi"/>
                          </m:rPr>
                          <w:rPr>
                            <w:rFonts w:hint="default" w:ascii="DejaVu Math TeX Gyre" w:hAnsi="DejaVu Math TeX Gyre"/>
                          </w:rPr>
                          <m:t>BS,deep</m:t>
                        </m:r>
                        <m:ctrlPr>
                          <w:rPr>
                            <w:rFonts w:ascii="DejaVu Math TeX Gyre" w:hAnsi="DejaVu Math TeX Gyre"/>
                            <w:b/>
                            <w:bCs/>
                            <w:i/>
                            <w:iCs/>
                          </w:rPr>
                        </m:ctrlPr>
                      </m:sub>
                    </m:sSub>
                    <m:ctrlPr>
                      <w:rPr>
                        <w:rFonts w:ascii="DejaVu Math TeX Gyre" w:hAnsi="DejaVu Math TeX Gyre"/>
                        <w:b/>
                        <w:bCs/>
                        <w:i/>
                        <w:iCs/>
                      </w:rPr>
                    </m:ctrlPr>
                  </m:e>
                </m:d>
                <m:r>
                  <m:rPr>
                    <m:sty m:val="bi"/>
                  </m:rPr>
                  <w:rPr>
                    <w:rFonts w:ascii="DejaVu Math TeX Gyre" w:hAnsi="DejaVu Math TeX Gyre"/>
                  </w:rPr>
                  <m:t> </m:t>
                </m:r>
                <m:d>
                  <m:dPr>
                    <m:ctrlPr>
                      <w:rPr>
                        <w:rFonts w:ascii="DejaVu Math TeX Gyre" w:hAnsi="DejaVu Math TeX Gyre"/>
                        <w:b/>
                        <w:bCs/>
                        <w:i/>
                        <w:iCs/>
                      </w:rPr>
                    </m:ctrlPr>
                  </m:dPr>
                  <m:e>
                    <m:sSub>
                      <m:sSubPr>
                        <m:ctrlPr>
                          <w:rPr>
                            <w:rFonts w:ascii="DejaVu Math TeX Gyre" w:hAnsi="DejaVu Math TeX Gyre"/>
                            <w:b/>
                            <w:bCs/>
                            <w:i/>
                            <w:iCs/>
                            <w:color w:val="FF0000"/>
                          </w:rPr>
                        </m:ctrlPr>
                      </m:sSubPr>
                      <m:e>
                        <m:r>
                          <m:rPr>
                            <m:sty m:val="bi"/>
                          </m:rPr>
                          <w:rPr>
                            <w:rFonts w:hint="default" w:ascii="DejaVu Math TeX Gyre" w:hAnsi="DejaVu Math TeX Gyre"/>
                            <w:color w:val="FF0000"/>
                          </w:rPr>
                          <m:t>α</m:t>
                        </m:r>
                        <m:ctrlPr>
                          <w:rPr>
                            <w:rFonts w:ascii="DejaVu Math TeX Gyre" w:hAnsi="DejaVu Math TeX Gyre"/>
                            <w:b/>
                            <w:bCs/>
                            <w:i/>
                            <w:iCs/>
                            <w:color w:val="FF0000"/>
                          </w:rPr>
                        </m:ctrlPr>
                      </m:e>
                      <m:sub>
                        <m:r>
                          <m:rPr>
                            <m:sty m:val="bi"/>
                          </m:rPr>
                          <w:rPr>
                            <w:rFonts w:hint="default" w:ascii="DejaVu Math TeX Gyre" w:hAnsi="DejaVu Math TeX Gyre"/>
                            <w:color w:val="FF0000"/>
                          </w:rPr>
                          <m:t>t</m:t>
                        </m:r>
                        <m:ctrlPr>
                          <w:rPr>
                            <w:rFonts w:ascii="DejaVu Math TeX Gyre" w:hAnsi="DejaVu Math TeX Gyre"/>
                            <w:b/>
                            <w:bCs/>
                            <w:i/>
                            <w:iCs/>
                            <w:color w:val="FF0000"/>
                          </w:rPr>
                        </m:ctrlPr>
                      </m:sub>
                    </m:sSub>
                    <m:r>
                      <m:rPr>
                        <m:sty m:val="bi"/>
                      </m:rPr>
                      <w:rPr>
                        <w:rFonts w:ascii="DejaVu Math TeX Gyre" w:hAnsi="DejaVu Math TeX Gyre"/>
                      </w:rPr>
                      <m:t>⋅</m:t>
                    </m:r>
                    <m:sSub>
                      <m:sSubPr>
                        <m:ctrlPr>
                          <w:rPr>
                            <w:rFonts w:ascii="DejaVu Math TeX Gyre" w:hAnsi="DejaVu Math TeX Gyre"/>
                            <w:b/>
                            <w:bCs/>
                            <w:i/>
                            <w:iCs/>
                          </w:rPr>
                        </m:ctrlPr>
                      </m:sSubPr>
                      <m:e>
                        <m:r>
                          <m:rPr>
                            <m:sty m:val="bi"/>
                          </m:rPr>
                          <w:rPr>
                            <w:rFonts w:hint="default" w:ascii="DejaVu Math TeX Gyre" w:hAnsi="DejaVu Math TeX Gyre"/>
                          </w:rPr>
                          <m:t>α</m:t>
                        </m:r>
                        <m:ctrlPr>
                          <w:rPr>
                            <w:rFonts w:ascii="DejaVu Math TeX Gyre" w:hAnsi="DejaVu Math TeX Gyre"/>
                            <w:b/>
                            <w:bCs/>
                            <w:i/>
                            <w:iCs/>
                          </w:rPr>
                        </m:ctrlPr>
                      </m:e>
                      <m:sub>
                        <m:r>
                          <m:rPr>
                            <m:sty m:val="bi"/>
                          </m:rPr>
                          <w:rPr>
                            <w:rFonts w:hint="default" w:ascii="DejaVu Math TeX Gyre" w:hAnsi="DejaVu Math TeX Gyre"/>
                          </w:rPr>
                          <m:t>f</m:t>
                        </m:r>
                        <m:ctrlPr>
                          <w:rPr>
                            <w:rFonts w:ascii="DejaVu Math TeX Gyre" w:hAnsi="DejaVu Math TeX Gyre"/>
                            <w:b/>
                            <w:bCs/>
                            <w:i/>
                            <w:iCs/>
                          </w:rPr>
                        </m:ctrlPr>
                      </m:sub>
                    </m:sSub>
                    <m:r>
                      <m:rPr>
                        <m:sty m:val="bi"/>
                      </m:rPr>
                      <w:rPr>
                        <w:rFonts w:ascii="DejaVu Math TeX Gyre" w:hAnsi="DejaVu Math TeX Gyre"/>
                      </w:rPr>
                      <m:t>⋅</m:t>
                    </m:r>
                    <m:sSub>
                      <m:sSubPr>
                        <m:ctrlPr>
                          <w:rPr>
                            <w:rFonts w:ascii="DejaVu Math TeX Gyre" w:hAnsi="DejaVu Math TeX Gyre"/>
                            <w:b/>
                            <w:bCs/>
                            <w:i/>
                            <w:iCs/>
                          </w:rPr>
                        </m:ctrlPr>
                      </m:sSubPr>
                      <m:e>
                        <m:r>
                          <m:rPr>
                            <m:sty m:val="bi"/>
                          </m:rPr>
                          <w:rPr>
                            <w:rFonts w:hint="default" w:ascii="DejaVu Math TeX Gyre" w:hAnsi="DejaVu Math TeX Gyre"/>
                          </w:rPr>
                          <m:t>α</m:t>
                        </m:r>
                        <m:ctrlPr>
                          <w:rPr>
                            <w:rFonts w:ascii="DejaVu Math TeX Gyre" w:hAnsi="DejaVu Math TeX Gyre"/>
                            <w:b/>
                            <w:bCs/>
                            <w:i/>
                            <w:iCs/>
                          </w:rPr>
                        </m:ctrlPr>
                      </m:e>
                      <m:sub>
                        <m:r>
                          <m:rPr>
                            <m:sty m:val="bi"/>
                          </m:rPr>
                          <w:rPr>
                            <w:rFonts w:hint="default" w:ascii="DejaVu Math TeX Gyre" w:hAnsi="DejaVu Math TeX Gyre"/>
                          </w:rPr>
                          <m:t>a</m:t>
                        </m:r>
                        <m:ctrlPr>
                          <w:rPr>
                            <w:rFonts w:ascii="DejaVu Math TeX Gyre" w:hAnsi="DejaVu Math TeX Gyre"/>
                            <w:b/>
                            <w:bCs/>
                            <w:i/>
                            <w:iCs/>
                          </w:rPr>
                        </m:ctrlPr>
                      </m:sub>
                    </m:sSub>
                    <m:r>
                      <m:rPr>
                        <m:sty m:val="bi"/>
                      </m:rPr>
                      <w:rPr>
                        <w:rFonts w:ascii="DejaVu Math TeX Gyre" w:hAnsi="DejaVu Math TeX Gyre"/>
                      </w:rPr>
                      <m:t>⋅</m:t>
                    </m:r>
                    <m:sSub>
                      <m:sSubPr>
                        <m:ctrlPr>
                          <w:rPr>
                            <w:rFonts w:ascii="DejaVu Math TeX Gyre" w:hAnsi="DejaVu Math TeX Gyre"/>
                            <w:b/>
                            <w:bCs/>
                            <w:i/>
                            <w:iCs/>
                          </w:rPr>
                        </m:ctrlPr>
                      </m:sSubPr>
                      <m:e>
                        <m:r>
                          <m:rPr>
                            <m:sty m:val="bi"/>
                          </m:rPr>
                          <w:rPr>
                            <w:rFonts w:hint="default" w:ascii="DejaVu Math TeX Gyre" w:hAnsi="DejaVu Math TeX Gyre"/>
                          </w:rPr>
                          <m:t>α</m:t>
                        </m:r>
                        <m:ctrlPr>
                          <w:rPr>
                            <w:rFonts w:ascii="DejaVu Math TeX Gyre" w:hAnsi="DejaVu Math TeX Gyre"/>
                            <w:b/>
                            <w:bCs/>
                            <w:i/>
                            <w:iCs/>
                          </w:rPr>
                        </m:ctrlPr>
                      </m:e>
                      <m:sub>
                        <m:r>
                          <m:rPr>
                            <m:sty m:val="bi"/>
                          </m:rPr>
                          <w:rPr>
                            <w:rFonts w:hint="default" w:ascii="DejaVu Math TeX Gyre" w:hAnsi="DejaVu Math TeX Gyre"/>
                          </w:rPr>
                          <m:t>p</m:t>
                        </m:r>
                        <m:ctrlPr>
                          <w:rPr>
                            <w:rFonts w:ascii="DejaVu Math TeX Gyre" w:hAnsi="DejaVu Math TeX Gyre"/>
                            <w:b/>
                            <w:bCs/>
                            <w:i/>
                            <w:iCs/>
                          </w:rPr>
                        </m:ctrlPr>
                      </m:sub>
                    </m:sSub>
                    <m:ctrlPr>
                      <w:rPr>
                        <w:rFonts w:ascii="DejaVu Math TeX Gyre" w:hAnsi="DejaVu Math TeX Gyre"/>
                        <w:b/>
                        <w:bCs/>
                        <w:i/>
                        <w:iCs/>
                      </w:rPr>
                    </m:ctrlPr>
                  </m:e>
                </m:d>
                <m:r>
                  <m:rPr>
                    <m:sty m:val="bi"/>
                  </m:rPr>
                  <w:rPr>
                    <w:rFonts w:ascii="DejaVu Math TeX Gyre" w:hAnsi="DejaVu Math TeX Gyre"/>
                  </w:rPr>
                  <m:t> .</m:t>
                </m:r>
              </m:oMath>
            </m:oMathPara>
          </w:p>
          <w:p w14:paraId="5278EAC6">
            <w:pPr>
              <w:pStyle w:val="5"/>
              <w:widowControl w:val="0"/>
              <w:rPr>
                <w:b/>
                <w:bCs/>
                <w:i/>
                <w:iCs/>
              </w:rPr>
            </w:pPr>
            <w:r>
              <w:rPr>
                <w:b/>
                <w:bCs/>
                <w:i/>
                <w:iCs/>
              </w:rPr>
              <w:t xml:space="preserve">and </w:t>
            </w:r>
            <m:oMath>
              <m:sSub>
                <m:sSubPr>
                  <m:ctrlPr>
                    <w:rPr>
                      <w:rFonts w:ascii="DejaVu Math TeX Gyre" w:hAnsi="DejaVu Math TeX Gyre"/>
                      <w:b/>
                      <w:bCs/>
                      <w:i/>
                      <w:iCs/>
                    </w:rPr>
                  </m:ctrlPr>
                </m:sSubPr>
                <m:e>
                  <m:r>
                    <m:rPr>
                      <m:sty m:val="bi"/>
                    </m:rPr>
                    <w:rPr>
                      <w:rFonts w:hint="default" w:ascii="DejaVu Math TeX Gyre" w:hAnsi="DejaVu Math TeX Gyre"/>
                    </w:rPr>
                    <m:t>P</m:t>
                  </m:r>
                  <m:ctrlPr>
                    <w:rPr>
                      <w:rFonts w:ascii="DejaVu Math TeX Gyre" w:hAnsi="DejaVu Math TeX Gyre"/>
                      <w:b/>
                      <w:bCs/>
                      <w:i/>
                      <w:iCs/>
                    </w:rPr>
                  </m:ctrlPr>
                </m:e>
                <m:sub>
                  <m:r>
                    <m:rPr>
                      <m:sty m:val="bi"/>
                    </m:rPr>
                    <w:rPr>
                      <w:rFonts w:hint="default" w:ascii="DejaVu Math TeX Gyre" w:hAnsi="DejaVu Math TeX Gyre"/>
                    </w:rPr>
                    <m:t>BS,deep</m:t>
                  </m:r>
                  <m:ctrlPr>
                    <w:rPr>
                      <w:rFonts w:ascii="DejaVu Math TeX Gyre" w:hAnsi="DejaVu Math TeX Gyre"/>
                      <w:b/>
                      <w:bCs/>
                      <w:i/>
                      <w:iCs/>
                    </w:rPr>
                  </m:ctrlPr>
                </m:sub>
              </m:sSub>
            </m:oMath>
            <w:r>
              <w:rPr>
                <w:b/>
                <w:bCs/>
                <w:i/>
                <w:iCs/>
              </w:rPr>
              <w:t xml:space="preserve"> be the baseline power in deep sleep. </w:t>
            </w:r>
          </w:p>
          <w:p w14:paraId="6656102C">
            <w:pPr>
              <w:pStyle w:val="49"/>
              <w:widowControl w:val="0"/>
              <w:rPr>
                <w:b/>
                <w:bCs/>
                <w:i/>
                <w:iCs/>
                <w:lang w:eastAsia="ko-KR"/>
              </w:rPr>
            </w:pPr>
            <w:r>
              <w:rPr>
                <w:b/>
                <w:bCs/>
                <w:i/>
                <w:iCs/>
                <w:lang w:eastAsia="zh-CN"/>
              </w:rPr>
              <w:t>-</w:t>
            </w:r>
            <w:r>
              <w:rPr>
                <w:b/>
                <w:bCs/>
                <w:i/>
                <w:iCs/>
                <w:lang w:eastAsia="zh-CN"/>
              </w:rPr>
              <w:tab/>
            </w:r>
            <w:r>
              <w:rPr>
                <w:b/>
                <w:bCs/>
                <w:i/>
                <w:iCs/>
                <w:lang w:eastAsia="zh-CN"/>
              </w:rPr>
              <w:t xml:space="preserve">Baseline: </w:t>
            </w:r>
            <m:oMath>
              <m:sSub>
                <m:sSubPr>
                  <m:ctrlPr>
                    <w:rPr>
                      <w:rFonts w:ascii="DejaVu Math TeX Gyre" w:hAnsi="DejaVu Math TeX Gyre"/>
                      <w:b/>
                      <w:bCs/>
                      <w:i/>
                      <w:iCs/>
                    </w:rPr>
                  </m:ctrlPr>
                </m:sSubPr>
                <m:e>
                  <m:r>
                    <m:rPr>
                      <m:sty m:val="bi"/>
                    </m:rPr>
                    <w:rPr>
                      <w:rFonts w:hint="default" w:ascii="DejaVu Math TeX Gyre" w:hAnsi="DejaVu Math TeX Gyre"/>
                    </w:rPr>
                    <m:t>P</m:t>
                  </m:r>
                  <m:ctrlPr>
                    <w:rPr>
                      <w:rFonts w:ascii="DejaVu Math TeX Gyre" w:hAnsi="DejaVu Math TeX Gyre"/>
                      <w:b/>
                      <w:bCs/>
                      <w:i/>
                      <w:iCs/>
                    </w:rPr>
                  </m:ctrlPr>
                </m:e>
                <m:sub>
                  <m:r>
                    <m:rPr>
                      <m:sty m:val="bi"/>
                    </m:rPr>
                    <w:rPr>
                      <w:rFonts w:hint="default" w:ascii="DejaVu Math TeX Gyre" w:hAnsi="DejaVu Math TeX Gyre"/>
                    </w:rPr>
                    <m:t>BS,deep</m:t>
                  </m:r>
                  <m:ctrlPr>
                    <w:rPr>
                      <w:rFonts w:ascii="DejaVu Math TeX Gyre" w:hAnsi="DejaVu Math TeX Gyre"/>
                      <w:b/>
                      <w:bCs/>
                      <w:i/>
                      <w:iCs/>
                    </w:rPr>
                  </m:ctrlPr>
                </m:sub>
              </m:sSub>
              <m:r>
                <m:rPr>
                  <m:sty m:val="bi"/>
                </m:rPr>
                <w:rPr>
                  <w:rFonts w:ascii="DejaVu Math TeX Gyre" w:hAnsi="DejaVu Math TeX Gyre"/>
                  <w:lang w:eastAsia="zh-CN"/>
                </w:rPr>
                <m:t>=</m:t>
              </m:r>
              <m:sSub>
                <m:sSubPr>
                  <m:ctrlPr>
                    <w:rPr>
                      <w:rFonts w:ascii="DejaVu Math TeX Gyre" w:hAnsi="DejaVu Math TeX Gyre"/>
                      <w:b/>
                      <w:bCs/>
                      <w:i/>
                      <w:iCs/>
                    </w:rPr>
                  </m:ctrlPr>
                </m:sSubPr>
                <m:e>
                  <m:r>
                    <m:rPr>
                      <m:sty m:val="bi"/>
                    </m:rPr>
                    <w:rPr>
                      <w:rFonts w:hint="default" w:ascii="DejaVu Math TeX Gyre" w:hAnsi="DejaVu Math TeX Gyre"/>
                      <w:lang w:eastAsia="zh-CN"/>
                    </w:rPr>
                    <m:t>P</m:t>
                  </m:r>
                  <m:ctrlPr>
                    <w:rPr>
                      <w:rFonts w:ascii="DejaVu Math TeX Gyre" w:hAnsi="DejaVu Math TeX Gyre"/>
                      <w:b/>
                      <w:bCs/>
                      <w:i/>
                      <w:iCs/>
                    </w:rPr>
                  </m:ctrlPr>
                </m:e>
                <m:sub>
                  <m:r>
                    <m:rPr>
                      <m:sty m:val="bi"/>
                    </m:rPr>
                    <w:rPr>
                      <w:rFonts w:hint="default" w:ascii="DejaVu Math TeX Gyre" w:hAnsi="DejaVu Math TeX Gyre"/>
                      <w:lang w:eastAsia="zh-CN"/>
                    </w:rPr>
                    <m:t>3</m:t>
                  </m:r>
                  <m:ctrlPr>
                    <w:rPr>
                      <w:rFonts w:ascii="DejaVu Math TeX Gyre" w:hAnsi="DejaVu Math TeX Gyre"/>
                      <w:b/>
                      <w:bCs/>
                      <w:i/>
                      <w:iCs/>
                    </w:rPr>
                  </m:ctrlPr>
                </m:sub>
              </m:sSub>
            </m:oMath>
          </w:p>
          <w:p w14:paraId="2A5AB765">
            <w:pPr>
              <w:pStyle w:val="49"/>
              <w:widowControl w:val="0"/>
              <w:rPr>
                <w:rFonts w:hint="default" w:hAnsi="Cambria Math"/>
                <w:i w:val="0"/>
                <w:vertAlign w:val="baseline"/>
                <w:lang w:val="en-US" w:eastAsia="zh-CN"/>
              </w:rPr>
            </w:pPr>
            <w:r>
              <w:rPr>
                <w:b/>
                <w:bCs/>
                <w:i/>
                <w:iCs/>
                <w:lang w:eastAsia="zh-CN"/>
              </w:rPr>
              <w:t>-</w:t>
            </w:r>
            <w:r>
              <w:rPr>
                <w:b/>
                <w:bCs/>
                <w:i/>
                <w:iCs/>
                <w:lang w:eastAsia="zh-CN"/>
              </w:rPr>
              <w:tab/>
            </w:r>
            <w:r>
              <w:rPr>
                <w:b/>
                <w:bCs/>
                <w:i/>
                <w:iCs/>
                <w:lang w:eastAsia="zh-CN"/>
              </w:rPr>
              <w:t xml:space="preserve">Optional: </w:t>
            </w:r>
            <m:oMath>
              <m:sSub>
                <m:sSubPr>
                  <m:ctrlPr>
                    <w:rPr>
                      <w:rFonts w:ascii="DejaVu Math TeX Gyre" w:hAnsi="DejaVu Math TeX Gyre"/>
                      <w:b/>
                      <w:bCs/>
                      <w:i/>
                      <w:iCs/>
                    </w:rPr>
                  </m:ctrlPr>
                </m:sSubPr>
                <m:e>
                  <m:r>
                    <m:rPr>
                      <m:sty m:val="bi"/>
                    </m:rPr>
                    <w:rPr>
                      <w:rFonts w:hint="default" w:ascii="DejaVu Math TeX Gyre" w:hAnsi="DejaVu Math TeX Gyre"/>
                    </w:rPr>
                    <m:t>P</m:t>
                  </m:r>
                  <m:ctrlPr>
                    <w:rPr>
                      <w:rFonts w:ascii="DejaVu Math TeX Gyre" w:hAnsi="DejaVu Math TeX Gyre"/>
                      <w:b/>
                      <w:bCs/>
                      <w:i/>
                      <w:iCs/>
                    </w:rPr>
                  </m:ctrlPr>
                </m:e>
                <m:sub>
                  <m:r>
                    <m:rPr>
                      <m:sty m:val="bi"/>
                    </m:rPr>
                    <w:rPr>
                      <w:rFonts w:hint="default" w:ascii="DejaVu Math TeX Gyre" w:hAnsi="DejaVu Math TeX Gyre"/>
                    </w:rPr>
                    <m:t>BS,deep</m:t>
                  </m:r>
                  <m:ctrlPr>
                    <w:rPr>
                      <w:rFonts w:ascii="DejaVu Math TeX Gyre" w:hAnsi="DejaVu Math TeX Gyre"/>
                      <w:b/>
                      <w:bCs/>
                      <w:i/>
                      <w:iCs/>
                    </w:rPr>
                  </m:ctrlPr>
                </m:sub>
              </m:sSub>
              <m:r>
                <m:rPr>
                  <m:sty m:val="bi"/>
                </m:rPr>
                <w:rPr>
                  <w:rFonts w:ascii="DejaVu Math TeX Gyre" w:hAnsi="DejaVu Math TeX Gyre"/>
                  <w:lang w:eastAsia="zh-CN"/>
                </w:rPr>
                <m:t>=</m:t>
              </m:r>
              <m:r>
                <m:rPr>
                  <m:sty m:val="bi"/>
                </m:rPr>
                <w:rPr>
                  <w:rFonts w:hint="default" w:ascii="DejaVu Math TeX Gyre" w:hAnsi="DejaVu Math TeX Gyre"/>
                  <w:color w:val="FF0000"/>
                  <w:lang w:val="en-US" w:eastAsia="zh-CN"/>
                </w:rPr>
                <m:t>[</m:t>
              </m:r>
              <m:r>
                <m:rPr>
                  <m:sty m:val="bi"/>
                </m:rPr>
                <w:rPr>
                  <w:rFonts w:hint="default" w:ascii="DejaVu Math TeX Gyre" w:hAnsi="DejaVu Math TeX Gyre"/>
                  <w:color w:val="FF0000"/>
                  <w:lang w:eastAsia="zh-CN"/>
                </w:rPr>
                <m:t>1.5</m:t>
              </m:r>
              <m:r>
                <m:rPr>
                  <m:sty m:val="bi"/>
                </m:rPr>
                <w:rPr>
                  <w:rFonts w:hint="default" w:ascii="DejaVu Math TeX Gyre" w:hAnsi="DejaVu Math TeX Gyre"/>
                  <w:color w:val="FF0000"/>
                  <w:lang w:val="en-US" w:eastAsia="zh-CN"/>
                </w:rPr>
                <m:t>]</m:t>
              </m:r>
              <m:r>
                <m:rPr>
                  <m:sty m:val="bi"/>
                </m:rPr>
                <w:rPr>
                  <w:rFonts w:ascii="DejaVu Math TeX Gyre" w:hAnsi="DejaVu Math TeX Gyre"/>
                  <w:lang w:eastAsia="zh-CN"/>
                </w:rPr>
                <m:t>∗</m:t>
              </m:r>
              <m:sSub>
                <m:sSubPr>
                  <m:ctrlPr>
                    <w:rPr>
                      <w:rFonts w:ascii="DejaVu Math TeX Gyre" w:hAnsi="DejaVu Math TeX Gyre"/>
                      <w:b/>
                      <w:bCs/>
                      <w:i/>
                      <w:iCs/>
                    </w:rPr>
                  </m:ctrlPr>
                </m:sSubPr>
                <m:e>
                  <m:r>
                    <m:rPr>
                      <m:sty m:val="bi"/>
                    </m:rPr>
                    <w:rPr>
                      <w:rFonts w:hint="default" w:ascii="DejaVu Math TeX Gyre" w:hAnsi="DejaVu Math TeX Gyre"/>
                      <w:lang w:eastAsia="zh-CN"/>
                    </w:rPr>
                    <m:t>P</m:t>
                  </m:r>
                  <m:ctrlPr>
                    <w:rPr>
                      <w:rFonts w:ascii="DejaVu Math TeX Gyre" w:hAnsi="DejaVu Math TeX Gyre"/>
                      <w:b/>
                      <w:bCs/>
                      <w:i/>
                      <w:iCs/>
                    </w:rPr>
                  </m:ctrlPr>
                </m:e>
                <m:sub>
                  <m:r>
                    <m:rPr>
                      <m:sty m:val="bi"/>
                    </m:rPr>
                    <w:rPr>
                      <w:rFonts w:hint="default" w:ascii="DejaVu Math TeX Gyre" w:hAnsi="DejaVu Math TeX Gyre"/>
                      <w:lang w:eastAsia="zh-CN"/>
                    </w:rPr>
                    <m:t>3</m:t>
                  </m:r>
                  <m:ctrlPr>
                    <w:rPr>
                      <w:rFonts w:ascii="DejaVu Math TeX Gyre" w:hAnsi="DejaVu Math TeX Gyre"/>
                      <w:b/>
                      <w:bCs/>
                      <w:i/>
                      <w:iCs/>
                    </w:rPr>
                  </m:ctrlPr>
                </m:sub>
              </m:sSub>
            </m:oMath>
          </w:p>
        </w:tc>
      </w:tr>
      <w:tr w14:paraId="5AE22536">
        <w:tc>
          <w:tcPr>
            <w:tcW w:w="2162" w:type="dxa"/>
          </w:tcPr>
          <w:p w14:paraId="34FAC2C4">
            <w:pPr>
              <w:pStyle w:val="5"/>
              <w:widowControl w:val="0"/>
              <w:rPr>
                <w:rFonts w:hint="default" w:hAnsi="Cambria Math"/>
                <w:i w:val="0"/>
                <w:vertAlign w:val="baseline"/>
                <w:lang w:val="en-US" w:eastAsia="zh-CN"/>
              </w:rPr>
            </w:pPr>
            <w:r>
              <w:rPr>
                <w:rFonts w:hint="eastAsia"/>
                <w:b/>
                <w:bCs/>
                <w:i/>
                <w:iCs/>
                <w:lang w:val="en-US" w:eastAsia="zh-CN"/>
              </w:rPr>
              <w:t>A</w:t>
            </w:r>
            <w:r>
              <w:rPr>
                <w:rFonts w:hint="default"/>
                <w:b/>
                <w:bCs/>
                <w:i/>
                <w:iCs/>
                <w:lang w:val="en-US" w:eastAsia="zh-CN"/>
              </w:rPr>
              <w:t xml:space="preserve">ctive </w:t>
            </w:r>
            <w:r>
              <w:rPr>
                <w:rFonts w:hint="eastAsia"/>
                <w:b/>
                <w:bCs/>
                <w:i/>
                <w:iCs/>
                <w:lang w:val="en-US" w:eastAsia="zh-CN"/>
              </w:rPr>
              <w:t>U</w:t>
            </w:r>
            <w:r>
              <w:rPr>
                <w:rFonts w:hint="default"/>
                <w:b/>
                <w:bCs/>
                <w:i/>
                <w:iCs/>
                <w:lang w:val="en-US" w:eastAsia="zh-CN"/>
              </w:rPr>
              <w:t>L transmission</w:t>
            </w:r>
          </w:p>
        </w:tc>
        <w:tc>
          <w:tcPr>
            <w:tcW w:w="7371" w:type="dxa"/>
          </w:tcPr>
          <w:p w14:paraId="745E6482">
            <w:pPr>
              <w:pStyle w:val="5"/>
              <w:widowControl w:val="0"/>
              <w:rPr>
                <w:rFonts w:hAnsi="Cambria Math"/>
                <w:b/>
                <w:bCs/>
                <w:i w:val="0"/>
              </w:rPr>
            </w:pPr>
            <m:oMathPara>
              <m:oMathParaPr>
                <m:jc m:val="center"/>
              </m:oMathParaPr>
              <m:oMath>
                <m:sSubSup>
                  <m:sSubSupPr>
                    <m:ctrlPr>
                      <w:rPr>
                        <w:rFonts w:ascii="DejaVu Math TeX Gyre" w:hAnsi="DejaVu Math TeX Gyre"/>
                        <w:b/>
                        <w:bCs/>
                      </w:rPr>
                    </m:ctrlPr>
                  </m:sSubSupPr>
                  <m:e>
                    <m:r>
                      <m:rPr>
                        <m:sty m:val="bi"/>
                      </m:rPr>
                      <w:rPr>
                        <w:rFonts w:hint="default" w:ascii="DejaVu Math TeX Gyre" w:hAnsi="DejaVu Math TeX Gyre"/>
                      </w:rPr>
                      <m:t>P</m:t>
                    </m:r>
                    <m:ctrlPr>
                      <w:rPr>
                        <w:rFonts w:ascii="DejaVu Math TeX Gyre" w:hAnsi="DejaVu Math TeX Gyre"/>
                        <w:b/>
                        <w:bCs/>
                      </w:rPr>
                    </m:ctrlPr>
                  </m:e>
                  <m:sub>
                    <m:r>
                      <m:rPr>
                        <m:nor/>
                        <m:sty m:val="b"/>
                      </m:rPr>
                      <w:rPr>
                        <w:rFonts w:ascii="DejaVu Math TeX Gyre" w:hAnsi="DejaVu Math TeX Gyre"/>
                        <w:b/>
                        <w:bCs/>
                        <w:i w:val="0"/>
                      </w:rPr>
                      <m:t>BS</m:t>
                    </m:r>
                    <m:ctrlPr>
                      <w:rPr>
                        <w:rFonts w:ascii="DejaVu Math TeX Gyre" w:hAnsi="DejaVu Math TeX Gyre"/>
                        <w:b/>
                        <w:bCs/>
                      </w:rPr>
                    </m:ctrlPr>
                  </m:sub>
                  <m:sup>
                    <m:r>
                      <m:rPr>
                        <m:sty m:val="bi"/>
                      </m:rPr>
                      <w:rPr>
                        <w:rFonts w:hint="default" w:ascii="DejaVu Math TeX Gyre" w:hAnsi="DejaVu Math TeX Gyre"/>
                        <w:lang w:val="en-US"/>
                      </w:rPr>
                      <m:t>U</m:t>
                    </m:r>
                    <m:r>
                      <m:rPr>
                        <m:sty m:val="bi"/>
                      </m:rPr>
                      <w:rPr>
                        <w:rFonts w:hint="default" w:ascii="DejaVu Math TeX Gyre" w:hAnsi="DejaVu Math TeX Gyre"/>
                      </w:rPr>
                      <m:t>L</m:t>
                    </m:r>
                    <m:ctrlPr>
                      <w:rPr>
                        <w:rFonts w:ascii="DejaVu Math TeX Gyre" w:hAnsi="DejaVu Math TeX Gyre"/>
                        <w:b/>
                        <w:bCs/>
                      </w:rPr>
                    </m:ctrlPr>
                  </m:sup>
                </m:sSubSup>
                <m:r>
                  <m:rPr>
                    <m:sty m:val="b"/>
                  </m:rPr>
                  <w:rPr>
                    <w:rFonts w:ascii="DejaVu Math TeX Gyre" w:hAnsi="DejaVu Math TeX Gyre"/>
                  </w:rPr>
                  <m:t>=</m:t>
                </m:r>
                <m:r>
                  <m:rPr>
                    <m:sty m:val="bi"/>
                  </m:rPr>
                  <w:rPr>
                    <w:rFonts w:ascii="DejaVu Math TeX Gyre" w:hAnsi="DejaVu Math TeX Gyre"/>
                  </w:rPr>
                  <m:t> </m:t>
                </m:r>
                <m:sSub>
                  <m:sSubPr>
                    <m:ctrlPr>
                      <w:rPr>
                        <w:rFonts w:ascii="DejaVu Math TeX Gyre" w:hAnsi="DejaVu Math TeX Gyre"/>
                        <w:b/>
                        <w:bCs/>
                      </w:rPr>
                    </m:ctrlPr>
                  </m:sSubPr>
                  <m:e>
                    <m:r>
                      <m:rPr>
                        <m:sty m:val="bi"/>
                      </m:rPr>
                      <w:rPr>
                        <w:rFonts w:hint="default" w:ascii="DejaVu Math TeX Gyre" w:hAnsi="DejaVu Math TeX Gyre"/>
                      </w:rPr>
                      <m:t>P</m:t>
                    </m:r>
                    <m:ctrlPr>
                      <w:rPr>
                        <w:rFonts w:ascii="DejaVu Math TeX Gyre" w:hAnsi="DejaVu Math TeX Gyre"/>
                        <w:b/>
                        <w:bCs/>
                      </w:rPr>
                    </m:ctrlPr>
                  </m:e>
                  <m:sub>
                    <m:r>
                      <m:rPr>
                        <m:sty m:val="bi"/>
                      </m:rPr>
                      <w:rPr>
                        <w:rFonts w:hint="default" w:ascii="DejaVu Math TeX Gyre" w:hAnsi="DejaVu Math TeX Gyre"/>
                      </w:rPr>
                      <m:t>BS</m:t>
                    </m:r>
                    <m:r>
                      <m:rPr>
                        <m:sty m:val="b"/>
                      </m:rPr>
                      <w:rPr>
                        <w:rFonts w:hint="default" w:ascii="DejaVu Math TeX Gyre" w:hAnsi="DejaVu Math TeX Gyre"/>
                      </w:rPr>
                      <m:t>,deep</m:t>
                    </m:r>
                    <m:ctrlPr>
                      <w:rPr>
                        <w:rFonts w:ascii="DejaVu Math TeX Gyre" w:hAnsi="DejaVu Math TeX Gyre"/>
                        <w:b/>
                        <w:bCs/>
                      </w:rPr>
                    </m:ctrlPr>
                  </m:sub>
                </m:sSub>
                <m:r>
                  <m:rPr>
                    <m:sty m:val="bi"/>
                  </m:rPr>
                  <w:rPr>
                    <w:rFonts w:ascii="DejaVu Math TeX Gyre" w:hAnsi="DejaVu Math TeX Gyre"/>
                  </w:rPr>
                  <m:t> </m:t>
                </m:r>
                <m:r>
                  <m:rPr>
                    <m:sty m:val="b"/>
                  </m:rPr>
                  <w:rPr>
                    <w:rFonts w:ascii="DejaVu Math TeX Gyre" w:hAnsi="DejaVu Math TeX Gyre"/>
                  </w:rPr>
                  <m:t>+</m:t>
                </m:r>
                <m:sSubSup>
                  <m:sSubSupPr>
                    <m:ctrlPr>
                      <w:rPr>
                        <w:rFonts w:ascii="DejaVu Math TeX Gyre" w:hAnsi="DejaVu Math TeX Gyre"/>
                        <w:b/>
                        <w:bCs/>
                      </w:rPr>
                    </m:ctrlPr>
                  </m:sSubSupPr>
                  <m:e>
                    <m:r>
                      <m:rPr>
                        <m:sty m:val="bi"/>
                      </m:rPr>
                      <w:rPr>
                        <w:rFonts w:hint="default" w:ascii="DejaVu Math TeX Gyre" w:hAnsi="DejaVu Math TeX Gyre"/>
                      </w:rPr>
                      <m:t>P</m:t>
                    </m:r>
                    <m:ctrlPr>
                      <w:rPr>
                        <w:rFonts w:ascii="DejaVu Math TeX Gyre" w:hAnsi="DejaVu Math TeX Gyre"/>
                        <w:b/>
                        <w:bCs/>
                      </w:rPr>
                    </m:ctrlPr>
                  </m:e>
                  <m:sub>
                    <m:r>
                      <m:rPr>
                        <m:sty m:val="b"/>
                      </m:rPr>
                      <w:rPr>
                        <w:rFonts w:hint="default" w:ascii="DejaVu Math TeX Gyre" w:hAnsi="DejaVu Math TeX Gyre"/>
                        <w:lang w:val="en-US"/>
                      </w:rPr>
                      <m:t>dynamic</m:t>
                    </m:r>
                    <m:ctrlPr>
                      <w:rPr>
                        <w:rFonts w:ascii="DejaVu Math TeX Gyre" w:hAnsi="DejaVu Math TeX Gyre"/>
                        <w:b/>
                        <w:bCs/>
                      </w:rPr>
                    </m:ctrlPr>
                  </m:sub>
                  <m:sup>
                    <m:r>
                      <m:rPr>
                        <m:sty m:val="bi"/>
                      </m:rPr>
                      <w:rPr>
                        <w:rFonts w:hint="default" w:ascii="DejaVu Math TeX Gyre" w:hAnsi="DejaVu Math TeX Gyre"/>
                        <w:lang w:val="en-US"/>
                      </w:rPr>
                      <m:t>U</m:t>
                    </m:r>
                    <m:r>
                      <m:rPr>
                        <m:sty m:val="bi"/>
                      </m:rPr>
                      <w:rPr>
                        <w:rFonts w:hint="default" w:ascii="DejaVu Math TeX Gyre" w:hAnsi="DejaVu Math TeX Gyre"/>
                      </w:rPr>
                      <m:t>L</m:t>
                    </m:r>
                    <m:ctrlPr>
                      <w:rPr>
                        <w:rFonts w:ascii="DejaVu Math TeX Gyre" w:hAnsi="DejaVu Math TeX Gyre"/>
                        <w:b/>
                        <w:bCs/>
                      </w:rPr>
                    </m:ctrlPr>
                  </m:sup>
                </m:sSubSup>
                <m:r>
                  <m:rPr>
                    <m:sty m:val="bi"/>
                  </m:rPr>
                  <w:rPr>
                    <w:rFonts w:ascii="DejaVu Math TeX Gyre" w:hAnsi="DejaVu Math TeX Gyre"/>
                  </w:rPr>
                  <m:t> </m:t>
                </m:r>
                <m:r>
                  <m:rPr>
                    <m:sty m:val="b"/>
                  </m:rPr>
                  <w:rPr>
                    <w:rFonts w:ascii="DejaVu Math TeX Gyre" w:hAnsi="DejaVu Math TeX Gyre"/>
                  </w:rPr>
                  <m:t>.</m:t>
                </m:r>
              </m:oMath>
            </m:oMathPara>
          </w:p>
          <w:p w14:paraId="1A9AF320">
            <w:pPr>
              <w:pStyle w:val="48"/>
              <w:widowControl w:val="0"/>
              <w:ind w:left="0" w:leftChars="0" w:firstLine="0" w:firstLineChars="0"/>
              <w:rPr>
                <w:b/>
                <w:bCs/>
                <w:lang w:eastAsia="zh-CN"/>
              </w:rPr>
            </w:pPr>
            <w:r>
              <w:rPr>
                <w:rFonts w:hint="default" w:hAnsi="Cambria Math"/>
                <w:b/>
                <w:bCs/>
                <w:i w:val="0"/>
                <w:lang w:val="en-US"/>
              </w:rPr>
              <w:t xml:space="preserve">here, </w:t>
            </w:r>
          </w:p>
          <w:p w14:paraId="3829BE3E">
            <w:pPr>
              <w:pStyle w:val="49"/>
              <w:widowControl w:val="0"/>
              <w:rPr>
                <w:b/>
                <w:bCs/>
                <w:lang w:eastAsia="zh-CN"/>
              </w:rPr>
            </w:pPr>
            <w:r>
              <w:rPr>
                <w:b/>
                <w:bCs/>
                <w:lang w:eastAsia="zh-CN"/>
              </w:rPr>
              <w:t>-</w:t>
            </w:r>
            <w:r>
              <w:rPr>
                <w:b/>
                <w:bCs/>
                <w:lang w:eastAsia="zh-CN"/>
              </w:rPr>
              <w:tab/>
            </w:r>
            <m:oMath>
              <m:sSub>
                <m:sSubPr>
                  <m:ctrlPr>
                    <w:rPr>
                      <w:rFonts w:ascii="DejaVu Math TeX Gyre" w:hAnsi="DejaVu Math TeX Gyre"/>
                      <w:b/>
                      <w:bCs/>
                    </w:rPr>
                  </m:ctrlPr>
                </m:sSubPr>
                <m:e>
                  <m:r>
                    <m:rPr>
                      <m:sty m:val="bi"/>
                    </m:rPr>
                    <w:rPr>
                      <w:rFonts w:hint="default" w:ascii="DejaVu Math TeX Gyre" w:hAnsi="DejaVu Math TeX Gyre"/>
                    </w:rPr>
                    <m:t>P</m:t>
                  </m:r>
                  <m:ctrlPr>
                    <w:rPr>
                      <w:rFonts w:ascii="DejaVu Math TeX Gyre" w:hAnsi="DejaVu Math TeX Gyre"/>
                      <w:b/>
                      <w:bCs/>
                    </w:rPr>
                  </m:ctrlPr>
                </m:e>
                <m:sub>
                  <m:r>
                    <m:rPr>
                      <m:sty m:val="bi"/>
                    </m:rPr>
                    <w:rPr>
                      <w:rFonts w:hint="default" w:ascii="DejaVu Math TeX Gyre" w:hAnsi="DejaVu Math TeX Gyre"/>
                    </w:rPr>
                    <m:t>BS,deep</m:t>
                  </m:r>
                  <m:ctrlPr>
                    <w:rPr>
                      <w:rFonts w:ascii="DejaVu Math TeX Gyre" w:hAnsi="DejaVu Math TeX Gyre"/>
                      <w:b/>
                      <w:bCs/>
                    </w:rPr>
                  </m:ctrlPr>
                </m:sub>
              </m:sSub>
              <m:r>
                <m:rPr>
                  <m:sty m:val="b"/>
                </m:rPr>
                <w:rPr>
                  <w:rFonts w:ascii="DejaVu Math TeX Gyre" w:hAnsi="DejaVu Math TeX Gyre"/>
                  <w:lang w:eastAsia="zh-CN"/>
                </w:rPr>
                <m:t>=</m:t>
              </m:r>
              <m:sSub>
                <m:sSubPr>
                  <m:ctrlPr>
                    <w:rPr>
                      <w:rFonts w:ascii="DejaVu Math TeX Gyre" w:hAnsi="DejaVu Math TeX Gyre"/>
                      <w:b/>
                      <w:bCs/>
                      <w:lang w:eastAsia="zh-CN"/>
                    </w:rPr>
                  </m:ctrlPr>
                </m:sSubPr>
                <m:e>
                  <m:r>
                    <m:rPr>
                      <m:sty m:val="bi"/>
                    </m:rPr>
                    <w:rPr>
                      <w:rFonts w:hint="default" w:ascii="DejaVu Math TeX Gyre" w:hAnsi="DejaVu Math TeX Gyre"/>
                      <w:lang w:eastAsia="zh-CN"/>
                    </w:rPr>
                    <m:t>P</m:t>
                  </m:r>
                  <m:ctrlPr>
                    <w:rPr>
                      <w:rFonts w:ascii="DejaVu Math TeX Gyre" w:hAnsi="DejaVu Math TeX Gyre"/>
                      <w:b/>
                      <w:bCs/>
                      <w:lang w:eastAsia="zh-CN"/>
                    </w:rPr>
                  </m:ctrlPr>
                </m:e>
                <m:sub>
                  <m:r>
                    <m:rPr>
                      <m:sty m:val="b"/>
                    </m:rPr>
                    <w:rPr>
                      <w:rFonts w:hint="default" w:ascii="DejaVu Math TeX Gyre" w:hAnsi="DejaVu Math TeX Gyre"/>
                      <w:lang w:eastAsia="zh-CN"/>
                    </w:rPr>
                    <m:t>3</m:t>
                  </m:r>
                  <m:ctrlPr>
                    <w:rPr>
                      <w:rFonts w:ascii="DejaVu Math TeX Gyre" w:hAnsi="DejaVu Math TeX Gyre"/>
                      <w:b/>
                      <w:bCs/>
                      <w:lang w:eastAsia="zh-CN"/>
                    </w:rPr>
                  </m:ctrlPr>
                </m:sub>
              </m:sSub>
              <m:r>
                <m:rPr>
                  <m:sty m:val="b"/>
                </m:rPr>
                <w:rPr>
                  <w:rFonts w:ascii="DejaVu Math TeX Gyre" w:hAnsi="DejaVu Math TeX Gyre"/>
                  <w:lang w:eastAsia="zh-CN"/>
                </w:rPr>
                <m:t xml:space="preserve"> </m:t>
              </m:r>
            </m:oMath>
          </w:p>
          <w:p w14:paraId="15CC44EF">
            <w:pPr>
              <w:pStyle w:val="49"/>
              <w:widowControl w:val="0"/>
              <w:rPr>
                <w:rFonts w:hint="default" w:hAnsi="Cambria Math"/>
                <w:i w:val="0"/>
                <w:vertAlign w:val="baseline"/>
                <w:lang w:val="en-US" w:eastAsia="zh-CN"/>
              </w:rPr>
            </w:pPr>
            <w:r>
              <w:rPr>
                <w:b/>
                <w:bCs/>
                <w:lang w:eastAsia="zh-CN"/>
              </w:rPr>
              <w:t>-</w:t>
            </w:r>
            <w:r>
              <w:rPr>
                <w:b/>
                <w:bCs/>
                <w:lang w:eastAsia="zh-CN"/>
              </w:rPr>
              <w:tab/>
            </w:r>
            <m:oMath>
              <m:sSubSup>
                <m:sSubSupPr>
                  <m:ctrlPr>
                    <w:rPr>
                      <w:rFonts w:ascii="DejaVu Math TeX Gyre" w:hAnsi="DejaVu Math TeX Gyre"/>
                      <w:b/>
                      <w:bCs/>
                      <w:lang w:eastAsia="zh-CN"/>
                    </w:rPr>
                  </m:ctrlPr>
                </m:sSubSupPr>
                <m:e>
                  <m:r>
                    <m:rPr>
                      <m:sty m:val="bi"/>
                    </m:rPr>
                    <w:rPr>
                      <w:rFonts w:hint="default" w:ascii="DejaVu Math TeX Gyre" w:hAnsi="DejaVu Math TeX Gyre"/>
                      <w:lang w:eastAsia="zh-CN"/>
                    </w:rPr>
                    <m:t>P</m:t>
                  </m:r>
                  <m:ctrlPr>
                    <w:rPr>
                      <w:rFonts w:ascii="DejaVu Math TeX Gyre" w:hAnsi="DejaVu Math TeX Gyre"/>
                      <w:b/>
                      <w:bCs/>
                      <w:lang w:eastAsia="zh-CN"/>
                    </w:rPr>
                  </m:ctrlPr>
                </m:e>
                <m:sub>
                  <m:r>
                    <m:rPr>
                      <m:sty m:val="b"/>
                    </m:rPr>
                    <w:rPr>
                      <w:rFonts w:hint="default" w:ascii="DejaVu Math TeX Gyre" w:hAnsi="DejaVu Math TeX Gyre"/>
                      <w:lang w:val="en-US"/>
                    </w:rPr>
                    <m:t>dynamic</m:t>
                  </m:r>
                  <m:ctrlPr>
                    <w:rPr>
                      <w:rFonts w:ascii="DejaVu Math TeX Gyre" w:hAnsi="DejaVu Math TeX Gyre"/>
                      <w:b/>
                      <w:bCs/>
                      <w:lang w:eastAsia="zh-CN"/>
                    </w:rPr>
                  </m:ctrlPr>
                </m:sub>
                <m:sup>
                  <m:r>
                    <m:rPr>
                      <m:sty m:val="bi"/>
                    </m:rPr>
                    <w:rPr>
                      <w:rFonts w:hint="default" w:ascii="DejaVu Math TeX Gyre" w:hAnsi="DejaVu Math TeX Gyre"/>
                      <w:lang w:eastAsia="zh-CN"/>
                    </w:rPr>
                    <m:t>UL</m:t>
                  </m:r>
                  <m:ctrlPr>
                    <w:rPr>
                      <w:rFonts w:ascii="DejaVu Math TeX Gyre" w:hAnsi="DejaVu Math TeX Gyre"/>
                      <w:b/>
                      <w:bCs/>
                      <w:lang w:eastAsia="zh-CN"/>
                    </w:rPr>
                  </m:ctrlPr>
                </m:sup>
              </m:sSubSup>
              <m:r>
                <m:rPr>
                  <m:sty m:val="b"/>
                </m:rPr>
                <w:rPr>
                  <w:rFonts w:ascii="DejaVu Math TeX Gyre" w:hAnsi="DejaVu Math TeX Gyre"/>
                  <w:lang w:eastAsia="zh-CN"/>
                </w:rPr>
                <m:t>=</m:t>
              </m:r>
              <m:sSub>
                <m:sSubPr>
                  <m:ctrlPr>
                    <w:rPr>
                      <w:rFonts w:ascii="DejaVu Math TeX Gyre" w:hAnsi="DejaVu Math TeX Gyre"/>
                      <w:b/>
                      <w:bCs/>
                      <w:lang w:eastAsia="zh-CN"/>
                    </w:rPr>
                  </m:ctrlPr>
                </m:sSubPr>
                <m:e>
                  <m:r>
                    <m:rPr>
                      <m:sty m:val="bi"/>
                    </m:rPr>
                    <w:rPr>
                      <w:rFonts w:hint="default" w:ascii="DejaVu Math TeX Gyre" w:hAnsi="DejaVu Math TeX Gyre"/>
                      <w:lang w:eastAsia="zh-CN"/>
                    </w:rPr>
                    <m:t>P</m:t>
                  </m:r>
                  <m:ctrlPr>
                    <w:rPr>
                      <w:rFonts w:ascii="DejaVu Math TeX Gyre" w:hAnsi="DejaVu Math TeX Gyre"/>
                      <w:b/>
                      <w:bCs/>
                      <w:lang w:eastAsia="zh-CN"/>
                    </w:rPr>
                  </m:ctrlPr>
                </m:e>
                <m:sub>
                  <m:r>
                    <m:rPr>
                      <m:sty m:val="b"/>
                    </m:rPr>
                    <w:rPr>
                      <w:rFonts w:hint="default" w:ascii="DejaVu Math TeX Gyre" w:hAnsi="DejaVu Math TeX Gyre"/>
                      <w:lang w:eastAsia="zh-CN"/>
                    </w:rPr>
                    <m:t>5</m:t>
                  </m:r>
                  <m:ctrlPr>
                    <w:rPr>
                      <w:rFonts w:ascii="DejaVu Math TeX Gyre" w:hAnsi="DejaVu Math TeX Gyre"/>
                      <w:b/>
                      <w:bCs/>
                      <w:lang w:eastAsia="zh-CN"/>
                    </w:rPr>
                  </m:ctrlPr>
                </m:sub>
              </m:sSub>
              <m:r>
                <m:rPr>
                  <m:sty m:val="b"/>
                </m:rPr>
                <w:rPr>
                  <w:rFonts w:ascii="DejaVu Math TeX Gyre" w:hAnsi="DejaVu Math TeX Gyre"/>
                  <w:lang w:eastAsia="zh-CN"/>
                </w:rPr>
                <m:t>−</m:t>
              </m:r>
              <m:sSub>
                <m:sSubPr>
                  <m:ctrlPr>
                    <w:rPr>
                      <w:rFonts w:ascii="DejaVu Math TeX Gyre" w:hAnsi="DejaVu Math TeX Gyre"/>
                      <w:b/>
                      <w:bCs/>
                      <w:lang w:eastAsia="zh-CN"/>
                    </w:rPr>
                  </m:ctrlPr>
                </m:sSubPr>
                <m:e>
                  <m:r>
                    <m:rPr>
                      <m:sty m:val="bi"/>
                    </m:rPr>
                    <w:rPr>
                      <w:rFonts w:hint="default" w:ascii="DejaVu Math TeX Gyre" w:hAnsi="DejaVu Math TeX Gyre"/>
                      <w:lang w:eastAsia="zh-CN"/>
                    </w:rPr>
                    <m:t>P</m:t>
                  </m:r>
                  <m:ctrlPr>
                    <w:rPr>
                      <w:rFonts w:ascii="DejaVu Math TeX Gyre" w:hAnsi="DejaVu Math TeX Gyre"/>
                      <w:b/>
                      <w:bCs/>
                      <w:lang w:eastAsia="zh-CN"/>
                    </w:rPr>
                  </m:ctrlPr>
                </m:e>
                <m:sub>
                  <m:r>
                    <m:rPr>
                      <m:sty m:val="b"/>
                    </m:rPr>
                    <w:rPr>
                      <w:rFonts w:hint="default" w:ascii="DejaVu Math TeX Gyre" w:hAnsi="DejaVu Math TeX Gyre"/>
                      <w:lang w:eastAsia="zh-CN"/>
                    </w:rPr>
                    <m:t>3</m:t>
                  </m:r>
                  <m:ctrlPr>
                    <w:rPr>
                      <w:rFonts w:ascii="DejaVu Math TeX Gyre" w:hAnsi="DejaVu Math TeX Gyre"/>
                      <w:b/>
                      <w:bCs/>
                      <w:lang w:eastAsia="zh-CN"/>
                    </w:rPr>
                  </m:ctrlPr>
                </m:sub>
              </m:sSub>
            </m:oMath>
            <w:r>
              <w:rPr>
                <w:b/>
                <w:bCs/>
                <w:lang w:eastAsia="zh-CN"/>
              </w:rPr>
              <w:t xml:space="preserve"> when no scaling is applied (i.e. scaling factor is 1).</w:t>
            </w:r>
          </w:p>
        </w:tc>
      </w:tr>
      <w:tr w14:paraId="33872EAA">
        <w:tc>
          <w:tcPr>
            <w:tcW w:w="2162" w:type="dxa"/>
          </w:tcPr>
          <w:p w14:paraId="79E2B331">
            <w:pPr>
              <w:pStyle w:val="5"/>
              <w:widowControl w:val="0"/>
              <w:rPr>
                <w:rFonts w:hint="default" w:hAnsi="Cambria Math"/>
                <w:i w:val="0"/>
                <w:vertAlign w:val="baseline"/>
                <w:lang w:val="en-US" w:eastAsia="zh-CN"/>
              </w:rPr>
            </w:pPr>
            <w:r>
              <w:rPr>
                <w:rFonts w:hint="eastAsia"/>
                <w:b/>
                <w:bCs/>
                <w:i/>
                <w:iCs/>
                <w:lang w:val="en-US" w:eastAsia="zh-CN"/>
              </w:rPr>
              <w:t>A</w:t>
            </w:r>
            <w:r>
              <w:rPr>
                <w:rFonts w:hint="default"/>
                <w:b/>
                <w:bCs/>
                <w:i/>
                <w:iCs/>
                <w:lang w:val="en-US" w:eastAsia="zh-CN"/>
              </w:rPr>
              <w:t xml:space="preserve">ctive </w:t>
            </w:r>
            <w:r>
              <w:rPr>
                <w:rFonts w:hint="eastAsia"/>
                <w:b/>
                <w:bCs/>
                <w:i/>
                <w:iCs/>
                <w:lang w:val="en-US" w:eastAsia="zh-CN"/>
              </w:rPr>
              <w:t>LPR</w:t>
            </w:r>
            <w:r>
              <w:rPr>
                <w:rFonts w:hint="default"/>
                <w:b/>
                <w:bCs/>
                <w:i/>
                <w:iCs/>
                <w:lang w:val="en-US" w:eastAsia="zh-CN"/>
              </w:rPr>
              <w:t xml:space="preserve"> transmission</w:t>
            </w:r>
          </w:p>
        </w:tc>
        <w:tc>
          <w:tcPr>
            <w:tcW w:w="7371" w:type="dxa"/>
          </w:tcPr>
          <w:p w14:paraId="0A7D3C7F">
            <w:pPr>
              <w:pStyle w:val="85"/>
              <w:widowControl w:val="0"/>
              <w:jc w:val="center"/>
              <w:rPr>
                <w:rFonts w:hAnsi="Cambria Math"/>
                <w:b/>
                <w:bCs/>
                <w:i w:val="0"/>
              </w:rPr>
            </w:pPr>
            <m:oMathPara>
              <m:oMathParaPr>
                <m:jc m:val="center"/>
              </m:oMathParaPr>
              <m:oMath>
                <m:sSubSup>
                  <m:sSubSupPr>
                    <m:ctrlPr>
                      <w:rPr>
                        <w:rFonts w:ascii="DejaVu Math TeX Gyre" w:hAnsi="DejaVu Math TeX Gyre"/>
                        <w:b/>
                        <w:bCs/>
                      </w:rPr>
                    </m:ctrlPr>
                  </m:sSubSupPr>
                  <m:e>
                    <m:r>
                      <m:rPr>
                        <m:sty m:val="bi"/>
                      </m:rPr>
                      <w:rPr>
                        <w:rFonts w:hint="default" w:ascii="DejaVu Math TeX Gyre" w:hAnsi="DejaVu Math TeX Gyre"/>
                      </w:rPr>
                      <m:t>P</m:t>
                    </m:r>
                    <m:ctrlPr>
                      <w:rPr>
                        <w:rFonts w:ascii="DejaVu Math TeX Gyre" w:hAnsi="DejaVu Math TeX Gyre"/>
                        <w:b/>
                        <w:bCs/>
                      </w:rPr>
                    </m:ctrlPr>
                  </m:e>
                  <m:sub>
                    <m:r>
                      <m:rPr>
                        <m:nor/>
                        <m:sty m:val="b"/>
                      </m:rPr>
                      <w:rPr>
                        <w:rFonts w:ascii="DejaVu Math TeX Gyre" w:hAnsi="DejaVu Math TeX Gyre"/>
                        <w:b/>
                        <w:bCs/>
                        <w:i w:val="0"/>
                      </w:rPr>
                      <m:t>BS</m:t>
                    </m:r>
                    <m:ctrlPr>
                      <w:rPr>
                        <w:rFonts w:ascii="DejaVu Math TeX Gyre" w:hAnsi="DejaVu Math TeX Gyre"/>
                        <w:b/>
                        <w:bCs/>
                      </w:rPr>
                    </m:ctrlPr>
                  </m:sub>
                  <m:sup>
                    <m:r>
                      <m:rPr>
                        <m:sty m:val="bi"/>
                      </m:rPr>
                      <w:rPr>
                        <w:rFonts w:hint="default" w:ascii="DejaVu Math TeX Gyre" w:hAnsi="DejaVu Math TeX Gyre"/>
                        <w:lang w:val="en-US"/>
                      </w:rPr>
                      <m:t>LPR</m:t>
                    </m:r>
                    <m:ctrlPr>
                      <w:rPr>
                        <w:rFonts w:ascii="DejaVu Math TeX Gyre" w:hAnsi="DejaVu Math TeX Gyre"/>
                        <w:b/>
                        <w:bCs/>
                      </w:rPr>
                    </m:ctrlPr>
                  </m:sup>
                </m:sSubSup>
                <m:r>
                  <m:rPr>
                    <m:sty m:val="b"/>
                  </m:rPr>
                  <w:rPr>
                    <w:rFonts w:ascii="DejaVu Math TeX Gyre" w:hAnsi="DejaVu Math TeX Gyre"/>
                  </w:rPr>
                  <m:t>=</m:t>
                </m:r>
                <m:r>
                  <m:rPr>
                    <m:sty m:val="bi"/>
                  </m:rPr>
                  <w:rPr>
                    <w:rFonts w:ascii="DejaVu Math TeX Gyre" w:hAnsi="DejaVu Math TeX Gyre"/>
                  </w:rPr>
                  <m:t> </m:t>
                </m:r>
                <m:sSub>
                  <m:sSubPr>
                    <m:ctrlPr>
                      <w:rPr>
                        <w:rFonts w:ascii="DejaVu Math TeX Gyre" w:hAnsi="DejaVu Math TeX Gyre"/>
                        <w:b/>
                        <w:bCs/>
                      </w:rPr>
                    </m:ctrlPr>
                  </m:sSubPr>
                  <m:e>
                    <m:r>
                      <m:rPr>
                        <m:sty m:val="bi"/>
                      </m:rPr>
                      <w:rPr>
                        <w:rFonts w:hint="default" w:ascii="DejaVu Math TeX Gyre" w:hAnsi="DejaVu Math TeX Gyre"/>
                      </w:rPr>
                      <m:t>P</m:t>
                    </m:r>
                    <m:ctrlPr>
                      <w:rPr>
                        <w:rFonts w:ascii="DejaVu Math TeX Gyre" w:hAnsi="DejaVu Math TeX Gyre"/>
                        <w:b/>
                        <w:bCs/>
                      </w:rPr>
                    </m:ctrlPr>
                  </m:e>
                  <m:sub>
                    <m:r>
                      <m:rPr>
                        <m:sty m:val="bi"/>
                      </m:rPr>
                      <w:rPr>
                        <w:rFonts w:hint="default" w:ascii="DejaVu Math TeX Gyre" w:hAnsi="DejaVu Math TeX Gyre"/>
                      </w:rPr>
                      <m:t>BS</m:t>
                    </m:r>
                    <m:r>
                      <m:rPr>
                        <m:sty m:val="b"/>
                      </m:rPr>
                      <w:rPr>
                        <w:rFonts w:hint="default" w:ascii="DejaVu Math TeX Gyre" w:hAnsi="DejaVu Math TeX Gyre"/>
                      </w:rPr>
                      <m:t>,deep</m:t>
                    </m:r>
                    <m:ctrlPr>
                      <w:rPr>
                        <w:rFonts w:ascii="DejaVu Math TeX Gyre" w:hAnsi="DejaVu Math TeX Gyre"/>
                        <w:b/>
                        <w:bCs/>
                      </w:rPr>
                    </m:ctrlPr>
                  </m:sub>
                </m:sSub>
                <m:r>
                  <m:rPr>
                    <m:sty m:val="bi"/>
                  </m:rPr>
                  <w:rPr>
                    <w:rFonts w:ascii="DejaVu Math TeX Gyre" w:hAnsi="DejaVu Math TeX Gyre"/>
                  </w:rPr>
                  <m:t> </m:t>
                </m:r>
                <m:r>
                  <m:rPr>
                    <m:sty m:val="b"/>
                  </m:rPr>
                  <w:rPr>
                    <w:rFonts w:ascii="DejaVu Math TeX Gyre" w:hAnsi="DejaVu Math TeX Gyre"/>
                  </w:rPr>
                  <m:t>+</m:t>
                </m:r>
                <m:sSubSup>
                  <m:sSubSupPr>
                    <m:ctrlPr>
                      <w:rPr>
                        <w:rFonts w:ascii="DejaVu Math TeX Gyre" w:hAnsi="DejaVu Math TeX Gyre"/>
                        <w:b/>
                        <w:bCs/>
                      </w:rPr>
                    </m:ctrlPr>
                  </m:sSubSupPr>
                  <m:e>
                    <m:r>
                      <m:rPr>
                        <m:sty m:val="bi"/>
                      </m:rPr>
                      <w:rPr>
                        <w:rFonts w:hint="default" w:ascii="DejaVu Math TeX Gyre" w:hAnsi="DejaVu Math TeX Gyre"/>
                      </w:rPr>
                      <m:t>P</m:t>
                    </m:r>
                    <m:ctrlPr>
                      <w:rPr>
                        <w:rFonts w:ascii="DejaVu Math TeX Gyre" w:hAnsi="DejaVu Math TeX Gyre"/>
                        <w:b/>
                        <w:bCs/>
                      </w:rPr>
                    </m:ctrlPr>
                  </m:e>
                  <m:sub>
                    <m:r>
                      <m:rPr>
                        <m:sty m:val="b"/>
                      </m:rPr>
                      <w:rPr>
                        <w:rFonts w:hint="default" w:ascii="DejaVu Math TeX Gyre" w:hAnsi="DejaVu Math TeX Gyre"/>
                        <w:lang w:val="en-US"/>
                      </w:rPr>
                      <m:t>dynamic</m:t>
                    </m:r>
                    <m:ctrlPr>
                      <w:rPr>
                        <w:rFonts w:ascii="DejaVu Math TeX Gyre" w:hAnsi="DejaVu Math TeX Gyre"/>
                        <w:b/>
                        <w:bCs/>
                      </w:rPr>
                    </m:ctrlPr>
                  </m:sub>
                  <m:sup>
                    <m:r>
                      <m:rPr>
                        <m:sty m:val="bi"/>
                      </m:rPr>
                      <w:rPr>
                        <w:rFonts w:hint="default" w:ascii="DejaVu Math TeX Gyre" w:hAnsi="DejaVu Math TeX Gyre"/>
                        <w:lang w:val="en-US"/>
                      </w:rPr>
                      <m:t>LPR</m:t>
                    </m:r>
                    <m:ctrlPr>
                      <w:rPr>
                        <w:rFonts w:ascii="DejaVu Math TeX Gyre" w:hAnsi="DejaVu Math TeX Gyre"/>
                        <w:b/>
                        <w:bCs/>
                      </w:rPr>
                    </m:ctrlPr>
                  </m:sup>
                </m:sSubSup>
                <m:r>
                  <m:rPr>
                    <m:sty m:val="bi"/>
                  </m:rPr>
                  <w:rPr>
                    <w:rFonts w:ascii="DejaVu Math TeX Gyre" w:hAnsi="DejaVu Math TeX Gyre"/>
                  </w:rPr>
                  <m:t> </m:t>
                </m:r>
              </m:oMath>
            </m:oMathPara>
          </w:p>
          <w:p w14:paraId="25525CF9">
            <w:pPr>
              <w:pStyle w:val="5"/>
              <w:widowControl w:val="0"/>
              <w:rPr>
                <w:rFonts w:hint="default" w:hAnsi="Cambria Math"/>
                <w:i w:val="0"/>
                <w:vertAlign w:val="baseline"/>
                <w:lang w:val="en-US" w:eastAsia="zh-CN"/>
              </w:rPr>
            </w:pPr>
            <w:r>
              <w:rPr>
                <w:rFonts w:hint="default" w:hAnsi="Cambria Math"/>
                <w:b/>
                <w:bCs/>
                <w:i w:val="0"/>
                <w:lang w:val="en-US"/>
              </w:rPr>
              <w:t xml:space="preserve">Also, </w:t>
            </w:r>
            <m:oMath>
              <m:sSub>
                <m:sSubPr>
                  <m:ctrlPr>
                    <w:rPr>
                      <w:rFonts w:ascii="DejaVu Math TeX Gyre" w:hAnsi="DejaVu Math TeX Gyre"/>
                      <w:b/>
                      <w:bCs/>
                    </w:rPr>
                  </m:ctrlPr>
                </m:sSubPr>
                <m:e>
                  <m:r>
                    <m:rPr>
                      <m:sty m:val="bi"/>
                    </m:rPr>
                    <w:rPr>
                      <w:rFonts w:hint="default" w:ascii="DejaVu Math TeX Gyre" w:hAnsi="DejaVu Math TeX Gyre"/>
                    </w:rPr>
                    <m:t>P</m:t>
                  </m:r>
                  <m:ctrlPr>
                    <w:rPr>
                      <w:rFonts w:ascii="DejaVu Math TeX Gyre" w:hAnsi="DejaVu Math TeX Gyre"/>
                      <w:b/>
                      <w:bCs/>
                    </w:rPr>
                  </m:ctrlPr>
                </m:e>
                <m:sub>
                  <m:r>
                    <m:rPr>
                      <m:sty m:val="bi"/>
                    </m:rPr>
                    <w:rPr>
                      <w:rFonts w:hint="default" w:ascii="DejaVu Math TeX Gyre" w:hAnsi="DejaVu Math TeX Gyre"/>
                    </w:rPr>
                    <m:t>BS,deep</m:t>
                  </m:r>
                  <m:ctrlPr>
                    <w:rPr>
                      <w:rFonts w:ascii="DejaVu Math TeX Gyre" w:hAnsi="DejaVu Math TeX Gyre"/>
                      <w:b/>
                      <w:bCs/>
                    </w:rPr>
                  </m:ctrlPr>
                </m:sub>
              </m:sSub>
              <m:r>
                <m:rPr>
                  <m:sty m:val="b"/>
                </m:rPr>
                <w:rPr>
                  <w:rFonts w:ascii="DejaVu Math TeX Gyre" w:hAnsi="DejaVu Math TeX Gyre"/>
                  <w:lang w:eastAsia="zh-CN"/>
                </w:rPr>
                <m:t>=</m:t>
              </m:r>
              <m:sSub>
                <m:sSubPr>
                  <m:ctrlPr>
                    <w:rPr>
                      <w:rFonts w:ascii="DejaVu Math TeX Gyre" w:hAnsi="DejaVu Math TeX Gyre"/>
                      <w:b/>
                      <w:bCs/>
                      <w:lang w:eastAsia="zh-CN"/>
                    </w:rPr>
                  </m:ctrlPr>
                </m:sSubPr>
                <m:e>
                  <m:r>
                    <m:rPr>
                      <m:sty m:val="bi"/>
                    </m:rPr>
                    <w:rPr>
                      <w:rFonts w:hint="default" w:ascii="DejaVu Math TeX Gyre" w:hAnsi="DejaVu Math TeX Gyre"/>
                      <w:lang w:eastAsia="zh-CN"/>
                    </w:rPr>
                    <m:t>P</m:t>
                  </m:r>
                  <m:ctrlPr>
                    <w:rPr>
                      <w:rFonts w:ascii="DejaVu Math TeX Gyre" w:hAnsi="DejaVu Math TeX Gyre"/>
                      <w:b/>
                      <w:bCs/>
                      <w:lang w:eastAsia="zh-CN"/>
                    </w:rPr>
                  </m:ctrlPr>
                </m:e>
                <m:sub>
                  <m:r>
                    <m:rPr>
                      <m:sty m:val="b"/>
                    </m:rPr>
                    <w:rPr>
                      <w:rFonts w:hint="default" w:ascii="DejaVu Math TeX Gyre" w:hAnsi="DejaVu Math TeX Gyre"/>
                      <w:lang w:eastAsia="zh-CN"/>
                    </w:rPr>
                    <m:t>3</m:t>
                  </m:r>
                  <m:ctrlPr>
                    <w:rPr>
                      <w:rFonts w:ascii="DejaVu Math TeX Gyre" w:hAnsi="DejaVu Math TeX Gyre"/>
                      <w:b/>
                      <w:bCs/>
                      <w:lang w:eastAsia="zh-CN"/>
                    </w:rPr>
                  </m:ctrlPr>
                </m:sub>
              </m:sSub>
              <m:r>
                <m:rPr>
                  <m:sty m:val="b"/>
                </m:rPr>
                <w:rPr>
                  <w:rFonts w:ascii="DejaVu Math TeX Gyre" w:hAnsi="DejaVu Math TeX Gyre"/>
                  <w:lang w:eastAsia="zh-CN"/>
                </w:rPr>
                <m:t xml:space="preserve"> </m:t>
              </m:r>
            </m:oMath>
            <w:r>
              <w:rPr>
                <w:rFonts w:hint="default" w:hAnsi="Cambria Math"/>
                <w:b/>
                <w:bCs/>
                <w:i w:val="0"/>
                <w:lang w:val="en-US" w:eastAsia="zh-CN"/>
              </w:rPr>
              <w:t xml:space="preserve"> as baseline, and FFS </w:t>
            </w:r>
            <m:oMath>
              <m:sSubSup>
                <m:sSubSupPr>
                  <m:ctrlPr>
                    <w:rPr>
                      <w:rFonts w:ascii="DejaVu Math TeX Gyre" w:hAnsi="DejaVu Math TeX Gyre"/>
                      <w:b/>
                      <w:bCs/>
                    </w:rPr>
                  </m:ctrlPr>
                </m:sSubSupPr>
                <m:e>
                  <m:r>
                    <m:rPr>
                      <m:sty m:val="bi"/>
                    </m:rPr>
                    <w:rPr>
                      <w:rFonts w:hint="default" w:ascii="DejaVu Math TeX Gyre" w:hAnsi="DejaVu Math TeX Gyre"/>
                    </w:rPr>
                    <m:t>P</m:t>
                  </m:r>
                  <m:ctrlPr>
                    <w:rPr>
                      <w:rFonts w:ascii="DejaVu Math TeX Gyre" w:hAnsi="DejaVu Math TeX Gyre"/>
                      <w:b/>
                      <w:bCs/>
                    </w:rPr>
                  </m:ctrlPr>
                </m:e>
                <m:sub>
                  <m:r>
                    <m:rPr>
                      <m:sty m:val="b"/>
                    </m:rPr>
                    <w:rPr>
                      <w:rFonts w:hint="default" w:ascii="DejaVu Math TeX Gyre" w:hAnsi="DejaVu Math TeX Gyre"/>
                      <w:lang w:val="en-US"/>
                    </w:rPr>
                    <m:t>dynamic</m:t>
                  </m:r>
                  <m:ctrlPr>
                    <w:rPr>
                      <w:rFonts w:ascii="DejaVu Math TeX Gyre" w:hAnsi="DejaVu Math TeX Gyre"/>
                      <w:b/>
                      <w:bCs/>
                    </w:rPr>
                  </m:ctrlPr>
                </m:sub>
                <m:sup>
                  <m:r>
                    <m:rPr>
                      <m:sty m:val="bi"/>
                    </m:rPr>
                    <w:rPr>
                      <w:rFonts w:hint="default" w:ascii="DejaVu Math TeX Gyre" w:hAnsi="DejaVu Math TeX Gyre"/>
                      <w:lang w:val="en-US"/>
                    </w:rPr>
                    <m:t>LPR</m:t>
                  </m:r>
                  <m:ctrlPr>
                    <w:rPr>
                      <w:rFonts w:ascii="DejaVu Math TeX Gyre" w:hAnsi="DejaVu Math TeX Gyre"/>
                      <w:b/>
                      <w:bCs/>
                    </w:rPr>
                  </m:ctrlPr>
                </m:sup>
              </m:sSubSup>
            </m:oMath>
            <w:r>
              <w:rPr>
                <w:rFonts w:hint="default" w:hAnsi="Cambria Math"/>
                <w:b/>
                <w:bCs/>
                <w:i w:val="0"/>
                <w:lang w:val="en-US"/>
              </w:rPr>
              <w:t xml:space="preserve"> if supported.</w:t>
            </w:r>
          </w:p>
        </w:tc>
      </w:tr>
    </w:tbl>
    <w:p w14:paraId="76ECC3EC">
      <w:pPr>
        <w:pStyle w:val="5"/>
        <w:rPr>
          <w:rFonts w:hint="default" w:hAnsi="Cambria Math"/>
          <w:i w:val="0"/>
          <w:lang w:val="en-US" w:eastAsia="zh-CN"/>
        </w:rPr>
      </w:pPr>
    </w:p>
    <w:p w14:paraId="0F1EF480">
      <w:pPr>
        <w:pStyle w:val="4"/>
        <w:numPr>
          <w:ilvl w:val="2"/>
          <w:numId w:val="0"/>
        </w:numPr>
        <w:tabs>
          <w:tab w:val="clear" w:pos="432"/>
          <w:tab w:val="clear" w:pos="720"/>
        </w:tabs>
        <w:ind w:leftChars="0"/>
      </w:pPr>
      <w:r>
        <w:rPr>
          <w:rFonts w:hint="default"/>
          <w:lang w:val="en-US" w:eastAsia="zh-CN"/>
        </w:rPr>
        <w:t>4</w:t>
      </w:r>
      <w:r>
        <w:rPr>
          <w:rFonts w:hint="eastAsia"/>
          <w:lang w:val="en-US" w:eastAsia="zh-CN"/>
        </w:rPr>
        <w:t>.1.4</w:t>
      </w:r>
      <w:r>
        <w:t xml:space="preserve"> </w:t>
      </w:r>
      <w:r>
        <w:rPr>
          <w:rFonts w:hint="eastAsia"/>
          <w:lang w:val="en-US" w:eastAsia="zh-CN"/>
        </w:rPr>
        <w:t>Other</w:t>
      </w:r>
      <w:r>
        <w:rPr>
          <w:rFonts w:hint="default"/>
          <w:lang w:val="en-US" w:eastAsia="zh-CN"/>
        </w:rPr>
        <w:t xml:space="preserve"> considerations</w:t>
      </w:r>
      <w:r>
        <w:t xml:space="preserve"> for 6G BS power modeling</w:t>
      </w:r>
    </w:p>
    <w:p w14:paraId="1D080308">
      <w:pPr>
        <w:pStyle w:val="85"/>
        <w:rPr>
          <w:sz w:val="22"/>
          <w:szCs w:val="22"/>
        </w:rPr>
      </w:pPr>
      <w:r>
        <w:rPr>
          <w:sz w:val="22"/>
          <w:szCs w:val="22"/>
        </w:rPr>
        <w:t>The 5G BS power model from TR 38.864 provides a solid foundation that 6G can reuse and extend. Key enhancements are discussed below:</w:t>
      </w:r>
    </w:p>
    <w:p w14:paraId="41099D7D">
      <w:pPr>
        <w:pStyle w:val="5"/>
        <w:numPr>
          <w:ilvl w:val="0"/>
          <w:numId w:val="20"/>
        </w:numPr>
        <w:rPr>
          <w:sz w:val="22"/>
          <w:szCs w:val="22"/>
        </w:rPr>
      </w:pPr>
      <w:r>
        <w:rPr>
          <w:rFonts w:ascii="Times New Roman Bold Italic" w:hAnsi="Times New Roman Bold Italic" w:cs="Times New Roman Bold Italic"/>
          <w:b/>
          <w:bCs/>
          <w:i/>
          <w:iCs/>
          <w:sz w:val="22"/>
          <w:szCs w:val="22"/>
          <w:u w:val="single"/>
        </w:rPr>
        <w:t xml:space="preserve">Minimum Bandwidth Operation: </w:t>
      </w:r>
      <w:r>
        <w:rPr>
          <w:sz w:val="22"/>
          <w:szCs w:val="22"/>
        </w:rPr>
        <w:t xml:space="preserve">Unlike NR which typically assumes a minimum carrier bandwidth of 5 MHz (in FR1) for normal operation, 6G is expected to support even narrower bandwidth modes (e.g. </w:t>
      </w:r>
      <w:r>
        <w:rPr>
          <w:rFonts w:hint="default" w:ascii="Times New Roman" w:hAnsi="Times New Roman" w:cs="Times New Roman"/>
          <w:b w:val="0"/>
          <w:bCs w:val="0"/>
          <w:sz w:val="22"/>
          <w:szCs w:val="22"/>
        </w:rPr>
        <w:t>~3 MHz</w:t>
      </w:r>
      <w:r>
        <w:rPr>
          <w:sz w:val="22"/>
          <w:szCs w:val="22"/>
        </w:rPr>
        <w:t>) for specialized use cases or IoT services. We propose to explicitly include system bandwidth (</w:t>
      </w:r>
      <m:oMath>
        <m:r>
          <m:rPr/>
          <w:rPr>
            <w:rFonts w:ascii="Cambria Math" w:hAnsi="Cambria Math"/>
            <w:sz w:val="22"/>
            <w:szCs w:val="22"/>
          </w:rPr>
          <m:t>B</m:t>
        </m:r>
      </m:oMath>
      <w:r>
        <w:rPr>
          <w:sz w:val="22"/>
          <w:szCs w:val="22"/>
        </w:rPr>
        <w:t xml:space="preserve">) as a parameter in the BS power model, rather than implicitly assuming a fixed reference bandwidth. In practice, a BS designed for 100 MHz might still operate on a 5 MHz or 3 MHz carrier in certain modes; however, running a wideband radio at a fraction of its bandwidth may not scale linearly in power. To handle this, the model can define multiple reference bandwidth configurations, or include a bandwidth scaling factor that is not strictly linear for very small </w:t>
      </w:r>
      <m:oMath>
        <m:r>
          <m:rPr/>
          <w:rPr>
            <w:rFonts w:ascii="Cambria Math" w:hAnsi="Cambria Math"/>
            <w:sz w:val="22"/>
            <w:szCs w:val="22"/>
          </w:rPr>
          <m:t>B</m:t>
        </m:r>
      </m:oMath>
      <w:r>
        <w:rPr>
          <w:sz w:val="22"/>
          <w:szCs w:val="22"/>
        </w:rPr>
        <w:t xml:space="preserve">. For example, some analog/RF components (clock distribution, LO synthesizers, etc.) draw almost constant power once enabled, regardless of bandwidth. Thus, for 6G we refine the frequency-domain scaling term </w:t>
      </w:r>
      <m:oMath>
        <m:sSub>
          <m:sSubPr>
            <m:ctrlPr>
              <w:rPr>
                <w:rFonts w:ascii="Cambria Math" w:hAnsi="Cambria Math"/>
                <w:sz w:val="22"/>
                <w:szCs w:val="22"/>
              </w:rPr>
            </m:ctrlPr>
          </m:sSubPr>
          <m:e>
            <m:r>
              <m:rPr/>
              <w:rPr>
                <w:rFonts w:ascii="Cambria Math" w:hAnsi="Cambria Math"/>
                <w:sz w:val="22"/>
                <w:szCs w:val="22"/>
              </w:rPr>
              <m:t>α</m:t>
            </m:r>
            <m:ctrlPr>
              <w:rPr>
                <w:rFonts w:ascii="Cambria Math" w:hAnsi="Cambria Math"/>
                <w:sz w:val="22"/>
                <w:szCs w:val="22"/>
              </w:rPr>
            </m:ctrlPr>
          </m:e>
          <m:sub>
            <m:r>
              <m:rPr/>
              <w:rPr>
                <w:rFonts w:ascii="Cambria Math" w:hAnsi="Cambria Math"/>
                <w:sz w:val="22"/>
                <w:szCs w:val="22"/>
              </w:rPr>
              <m:t>f</m:t>
            </m:r>
            <m:ctrlPr>
              <w:rPr>
                <w:rFonts w:ascii="Cambria Math" w:hAnsi="Cambria Math"/>
                <w:sz w:val="22"/>
                <w:szCs w:val="22"/>
              </w:rPr>
            </m:ctrlPr>
          </m:sub>
        </m:sSub>
      </m:oMath>
      <w:r>
        <w:rPr>
          <w:sz w:val="22"/>
          <w:szCs w:val="22"/>
        </w:rPr>
        <w:t xml:space="preserve">: it should capture that below a certain bandwidth threshold, a fixed overhead remains. One approach is to model effective bandwidth utilization </w:t>
      </w:r>
      <m:oMath>
        <m:sSub>
          <m:sSubPr>
            <m:ctrlPr>
              <w:rPr>
                <w:rFonts w:ascii="Cambria Math" w:hAnsi="Cambria Math"/>
                <w:i/>
                <w:sz w:val="22"/>
                <w:szCs w:val="22"/>
              </w:rPr>
            </m:ctrlPr>
          </m:sSubPr>
          <m:e>
            <m:r>
              <m:rPr/>
              <w:rPr>
                <w:rFonts w:ascii="Cambria Math" w:hAnsi="Cambria Math"/>
                <w:sz w:val="22"/>
                <w:szCs w:val="22"/>
              </w:rPr>
              <m:t>α</m:t>
            </m:r>
            <m:ctrlPr>
              <w:rPr>
                <w:rFonts w:ascii="Cambria Math" w:hAnsi="Cambria Math"/>
                <w:i/>
                <w:sz w:val="22"/>
                <w:szCs w:val="22"/>
              </w:rPr>
            </m:ctrlPr>
          </m:e>
          <m:sub>
            <m:r>
              <m:rPr/>
              <w:rPr>
                <w:rFonts w:ascii="DejaVu Math TeX Gyre" w:hAnsi="DejaVu Math TeX Gyre"/>
                <w:sz w:val="22"/>
                <w:szCs w:val="22"/>
              </w:rPr>
              <m:t>f</m:t>
            </m:r>
            <m:ctrlPr>
              <w:rPr>
                <w:rFonts w:ascii="Cambria Math" w:hAnsi="Cambria Math"/>
                <w:i/>
                <w:sz w:val="22"/>
                <w:szCs w:val="22"/>
              </w:rPr>
            </m:ctrlPr>
          </m:sub>
        </m:sSub>
        <m:r>
          <m:rPr/>
          <w:rPr>
            <w:rFonts w:ascii="Cambria Math" w:hAnsi="Cambria Math"/>
            <w:sz w:val="22"/>
            <w:szCs w:val="22"/>
          </w:rPr>
          <m:t>=</m:t>
        </m:r>
        <m:r>
          <m:rPr/>
          <w:rPr>
            <w:rFonts w:ascii="DejaVu Math TeX Gyre" w:hAnsi="DejaVu Math TeX Gyre"/>
            <w:sz w:val="22"/>
            <w:szCs w:val="22"/>
          </w:rPr>
          <m:t>{</m:t>
        </m:r>
        <m:r>
          <m:rPr/>
          <w:rPr>
            <w:rFonts w:ascii="Cambria Math" w:hAnsi="Cambria Math"/>
            <w:sz w:val="22"/>
            <w:szCs w:val="22"/>
          </w:rPr>
          <m:t>Bocc−B_min}</m:t>
        </m:r>
        <m:r>
          <m:rPr/>
          <w:rPr>
            <w:rFonts w:ascii="DejaVu Math TeX Gyre" w:hAnsi="DejaVu Math TeX Gyre"/>
            <w:sz w:val="22"/>
            <w:szCs w:val="22"/>
          </w:rPr>
          <m:t>/</m:t>
        </m:r>
        <m:r>
          <m:rPr/>
          <w:rPr>
            <w:rFonts w:ascii="Cambria Math" w:hAnsi="Cambria Math"/>
            <w:sz w:val="22"/>
            <w:szCs w:val="22"/>
          </w:rPr>
          <m:t>{B_ref−B_min}</m:t>
        </m:r>
      </m:oMath>
      <w:r>
        <w:rPr>
          <w:sz w:val="22"/>
          <w:szCs w:val="22"/>
        </w:rPr>
        <w:t xml:space="preserve"> (clamped between 0 and 1), where </w:t>
      </w:r>
      <m:oMath>
        <m:sSub>
          <m:sSubPr>
            <m:ctrlPr>
              <w:rPr>
                <w:rFonts w:ascii="Cambria Math" w:hAnsi="Cambria Math"/>
                <w:sz w:val="22"/>
                <w:szCs w:val="22"/>
              </w:rPr>
            </m:ctrlPr>
          </m:sSubPr>
          <m:e>
            <m:r>
              <m:rPr/>
              <w:rPr>
                <w:rFonts w:ascii="Cambria Math" w:hAnsi="Cambria Math"/>
                <w:sz w:val="22"/>
                <w:szCs w:val="22"/>
              </w:rPr>
              <m:t>B</m:t>
            </m:r>
            <m:ctrlPr>
              <w:rPr>
                <w:rFonts w:ascii="Cambria Math" w:hAnsi="Cambria Math"/>
                <w:sz w:val="22"/>
                <w:szCs w:val="22"/>
              </w:rPr>
            </m:ctrlPr>
          </m:e>
          <m:sub>
            <m:r>
              <m:rPr/>
              <w:rPr>
                <w:rFonts w:ascii="Cambria Math" w:hAnsi="Cambria Math"/>
                <w:sz w:val="22"/>
                <w:szCs w:val="22"/>
              </w:rPr>
              <m:t>min</m:t>
            </m:r>
            <m:ctrlPr>
              <w:rPr>
                <w:rFonts w:ascii="Cambria Math" w:hAnsi="Cambria Math"/>
                <w:sz w:val="22"/>
                <w:szCs w:val="22"/>
              </w:rPr>
            </m:ctrlPr>
          </m:sub>
        </m:sSub>
      </m:oMath>
      <w:r>
        <w:rPr>
          <w:sz w:val="22"/>
          <w:szCs w:val="22"/>
        </w:rPr>
        <w:t xml:space="preserve"> is a bandwidth below which power savings no longer scale (representing fixed RF power overhead). For instance, if a macro BS has a minimal operational overhead corresponding to ~3 MHz of bandwidth, then using 3 MHz or 1 MHz carrier yields roughly the same RF front-end power draw as 3 MHz reference. This enhancement ensures the model remains valid for 6G narrow-band deployments. We will define new reference configuration sets for 6G that include lower bandwidth options such as 5 MHz and 3 MHz carriers, especially in low-band spectrum (e.g. for massive IoT coverage). These would complement the existing 20 MHz and 100 MHz references[</w:t>
      </w:r>
      <w:r>
        <w:rPr>
          <w:rFonts w:hint="eastAsia"/>
          <w:sz w:val="22"/>
          <w:szCs w:val="22"/>
          <w:lang w:eastAsia="zh-CN"/>
        </w:rPr>
        <w:t>5</w:t>
      </w:r>
      <w:r>
        <w:rPr>
          <w:sz w:val="22"/>
          <w:szCs w:val="22"/>
        </w:rPr>
        <w:t>]. By doing so, evaluation of energy efficiency techniques can consider scenarios where only a few MHz are active (e.g. a control channel or broadcast in a largely sleeping cell), which is increasingly likely in 6G with its focus on lean design.</w:t>
      </w:r>
    </w:p>
    <w:p w14:paraId="218BA0BB">
      <w:pPr>
        <w:pStyle w:val="5"/>
        <w:rPr>
          <w:rFonts w:ascii="Times New Roman Bold Italic" w:hAnsi="Times New Roman Bold Italic" w:cs="Times New Roman Bold Italic"/>
          <w:b/>
          <w:bCs/>
          <w:i/>
          <w:iCs/>
          <w:sz w:val="22"/>
          <w:szCs w:val="22"/>
        </w:rPr>
      </w:pPr>
      <w:r>
        <w:rPr>
          <w:rFonts w:ascii="Times New Roman Bold Italic" w:hAnsi="Times New Roman Bold Italic" w:cs="Times New Roman Bold Italic"/>
          <w:b/>
          <w:bCs/>
          <w:i/>
          <w:iCs/>
          <w:sz w:val="22"/>
          <w:szCs w:val="22"/>
        </w:rPr>
        <w:t xml:space="preserve">Observation </w:t>
      </w:r>
      <w:r>
        <w:rPr>
          <w:rFonts w:hint="default" w:ascii="Times New Roman Bold Italic" w:hAnsi="Times New Roman Bold Italic" w:cs="Times New Roman Bold Italic"/>
          <w:b/>
          <w:bCs/>
          <w:i/>
          <w:iCs/>
          <w:sz w:val="22"/>
          <w:szCs w:val="22"/>
          <w:lang w:val="en-US"/>
        </w:rPr>
        <w:t>14</w:t>
      </w:r>
      <w:r>
        <w:rPr>
          <w:rFonts w:ascii="Times New Roman Bold Italic" w:hAnsi="Times New Roman Bold Italic" w:cs="Times New Roman Bold Italic"/>
          <w:b/>
          <w:bCs/>
          <w:i/>
          <w:iCs/>
          <w:sz w:val="22"/>
          <w:szCs w:val="22"/>
        </w:rPr>
        <w:t xml:space="preserve">:  BS designed for 100 MHz might still operate on a 5 MHz or 3 MHz </w:t>
      </w:r>
      <w:r>
        <w:rPr>
          <w:rFonts w:hint="eastAsia" w:ascii="Times New Roman Bold Italic" w:hAnsi="Times New Roman Bold Italic" w:cs="Times New Roman Bold Italic"/>
          <w:b/>
          <w:bCs/>
          <w:i/>
          <w:iCs/>
          <w:sz w:val="22"/>
          <w:szCs w:val="22"/>
          <w:lang w:eastAsia="zh-CN"/>
        </w:rPr>
        <w:t>bandwidth</w:t>
      </w:r>
      <w:r>
        <w:rPr>
          <w:rFonts w:ascii="Times New Roman Bold Italic" w:hAnsi="Times New Roman Bold Italic" w:cs="Times New Roman Bold Italic"/>
          <w:b/>
          <w:bCs/>
          <w:i/>
          <w:iCs/>
          <w:sz w:val="22"/>
          <w:szCs w:val="22"/>
        </w:rPr>
        <w:t xml:space="preserve"> in certain modes; however, running a wideband radio at a fraction of its bandwidth may not scale linearly in power.</w:t>
      </w:r>
    </w:p>
    <w:p w14:paraId="01C96FBB">
      <w:pPr>
        <w:pStyle w:val="5"/>
        <w:numPr>
          <w:ilvl w:val="0"/>
          <w:numId w:val="20"/>
        </w:numPr>
        <w:rPr>
          <w:sz w:val="22"/>
          <w:szCs w:val="22"/>
        </w:rPr>
      </w:pPr>
      <w:r>
        <w:rPr>
          <w:rFonts w:ascii="Times New Roman Bold Italic" w:hAnsi="Times New Roman Bold Italic" w:cs="Times New Roman Bold Italic"/>
          <w:b/>
          <w:bCs/>
          <w:i/>
          <w:iCs/>
          <w:sz w:val="22"/>
          <w:szCs w:val="22"/>
          <w:u w:val="single"/>
        </w:rPr>
        <w:t>Waveform and PA Efficiency Considerations:</w:t>
      </w:r>
      <w:r>
        <w:rPr>
          <w:sz w:val="22"/>
          <w:szCs w:val="22"/>
        </w:rPr>
        <w:t xml:space="preserve"> The baseline NR model assumes CP-OFDM waveform (and DFT-s-OFDM for uplink) with the typical PA back-off requirements for that waveform’s PAPR. In 6G, while CP-OFDM will likely remain a primary waveform (for compatibility and multi-access), there is ongoing consideration of new waveforms or variants (e.g. spectrally localized or low-PAPR waveforms) for improved efficiency. If 6G introduces any waveform that materially affects PAPR or transmitter efficiency, the BS power model should incorporate a power amplifier efficiency factor </w:t>
      </w:r>
      <m:oMath>
        <m:r>
          <m:rPr/>
          <w:rPr>
            <w:rFonts w:ascii="Cambria Math" w:hAnsi="Cambria Math"/>
            <w:sz w:val="22"/>
            <w:szCs w:val="22"/>
          </w:rPr>
          <m:t>η</m:t>
        </m:r>
      </m:oMath>
      <w:r>
        <w:rPr>
          <w:sz w:val="22"/>
          <w:szCs w:val="22"/>
        </w:rPr>
        <w:t xml:space="preserve">. We propose augmenting the transmit power scaling term </w:t>
      </w:r>
      <m:oMath>
        <m:sSub>
          <m:sSubPr>
            <m:ctrlPr>
              <w:rPr>
                <w:rFonts w:ascii="Cambria Math" w:hAnsi="Cambria Math"/>
                <w:sz w:val="22"/>
                <w:szCs w:val="22"/>
              </w:rPr>
            </m:ctrlPr>
          </m:sSubPr>
          <m:e>
            <m:r>
              <m:rPr/>
              <w:rPr>
                <w:rFonts w:ascii="Cambria Math" w:hAnsi="Cambria Math"/>
                <w:sz w:val="22"/>
                <w:szCs w:val="22"/>
              </w:rPr>
              <m:t>α</m:t>
            </m:r>
            <m:ctrlPr>
              <w:rPr>
                <w:rFonts w:ascii="Cambria Math" w:hAnsi="Cambria Math"/>
                <w:sz w:val="22"/>
                <w:szCs w:val="22"/>
              </w:rPr>
            </m:ctrlPr>
          </m:e>
          <m:sub>
            <m:r>
              <m:rPr/>
              <w:rPr>
                <w:rFonts w:ascii="Cambria Math" w:hAnsi="Cambria Math"/>
                <w:sz w:val="22"/>
                <w:szCs w:val="22"/>
              </w:rPr>
              <m:t>p</m:t>
            </m:r>
            <m:ctrlPr>
              <w:rPr>
                <w:rFonts w:ascii="Cambria Math" w:hAnsi="Cambria Math"/>
                <w:sz w:val="22"/>
                <w:szCs w:val="22"/>
              </w:rPr>
            </m:ctrlPr>
          </m:sub>
        </m:sSub>
      </m:oMath>
      <w:r>
        <w:rPr>
          <w:sz w:val="22"/>
          <w:szCs w:val="22"/>
        </w:rPr>
        <w:t xml:space="preserve"> with </w:t>
      </w:r>
      <m:oMath>
        <m:r>
          <m:rPr/>
          <w:rPr>
            <w:rFonts w:ascii="Cambria Math" w:hAnsi="Cambria Math"/>
            <w:sz w:val="22"/>
            <w:szCs w:val="22"/>
          </w:rPr>
          <m:t>η(waveform)</m:t>
        </m:r>
      </m:oMath>
      <w:r>
        <w:rPr>
          <w:sz w:val="22"/>
          <w:szCs w:val="22"/>
        </w:rPr>
        <w:t xml:space="preserve"> to account for how much DC power is required for a given RF output. For example, a traditional CP-OFDM might have </w:t>
      </w:r>
      <m:oMath>
        <m:r>
          <m:rPr/>
          <w:rPr>
            <w:rFonts w:ascii="Cambria Math" w:hAnsi="Cambria Math"/>
            <w:sz w:val="22"/>
            <w:szCs w:val="22"/>
          </w:rPr>
          <m:t>η</m:t>
        </m:r>
        <m:r>
          <m:rPr/>
          <w:rPr>
            <w:rFonts w:ascii="DejaVu Math TeX Gyre" w:hAnsi="DejaVu Math TeX Gyre"/>
            <w:sz w:val="22"/>
            <w:szCs w:val="22"/>
          </w:rPr>
          <m:t>≈</m:t>
        </m:r>
        <m:r>
          <m:rPr/>
          <w:rPr>
            <w:rFonts w:ascii="DejaVu Math TeX Gyre" w:hAnsi="DejaVu Math TeX Gyre"/>
            <w:sz w:val="22"/>
            <w:szCs w:val="22"/>
            <w:lang w:eastAsia="zh-CN"/>
          </w:rPr>
          <m:t>0</m:t>
        </m:r>
        <m:r>
          <m:rPr/>
          <w:rPr>
            <w:rFonts w:hint="eastAsia" w:ascii="DejaVu Math TeX Gyre" w:hAnsi="DejaVu Math TeX Gyre"/>
            <w:sz w:val="22"/>
            <w:szCs w:val="22"/>
            <w:lang w:eastAsia="zh-CN"/>
          </w:rPr>
          <m:t>.</m:t>
        </m:r>
        <m:r>
          <m:rPr/>
          <w:rPr>
            <w:rFonts w:ascii="DejaVu Math TeX Gyre" w:hAnsi="DejaVu Math TeX Gyre"/>
            <w:sz w:val="22"/>
            <w:szCs w:val="22"/>
            <w:lang w:eastAsia="zh-CN"/>
          </w:rPr>
          <m:t xml:space="preserve">2 </m:t>
        </m:r>
      </m:oMath>
      <w:r>
        <w:rPr>
          <w:sz w:val="22"/>
          <w:szCs w:val="22"/>
        </w:rPr>
        <w:t xml:space="preserve">at maximum power (meaning 5× more power drawn than radiated), whereas a hypothetical new waveform or improved PA technology could raise this to 30% or 40%. In formula form, if </w:t>
      </w:r>
      <m:oMath>
        <m:sSub>
          <m:sSubPr>
            <m:ctrlPr>
              <w:rPr>
                <w:rFonts w:ascii="Cambria Math" w:hAnsi="Cambria Math"/>
                <w:sz w:val="22"/>
                <w:szCs w:val="22"/>
              </w:rPr>
            </m:ctrlPr>
          </m:sSubPr>
          <m:e>
            <m:r>
              <m:rPr/>
              <w:rPr>
                <w:rFonts w:ascii="Cambria Math" w:hAnsi="Cambria Math"/>
                <w:sz w:val="22"/>
                <w:szCs w:val="22"/>
              </w:rPr>
              <m:t>P</m:t>
            </m:r>
            <m:ctrlPr>
              <w:rPr>
                <w:rFonts w:ascii="Cambria Math" w:hAnsi="Cambria Math"/>
                <w:sz w:val="22"/>
                <w:szCs w:val="22"/>
              </w:rPr>
            </m:ctrlPr>
          </m:e>
          <m:sub>
            <m:r>
              <m:rPr/>
              <w:rPr>
                <w:rFonts w:ascii="Cambria Math" w:hAnsi="Cambria Math"/>
                <w:sz w:val="22"/>
                <w:szCs w:val="22"/>
              </w:rPr>
              <m:t>out</m:t>
            </m:r>
            <m:ctrlPr>
              <w:rPr>
                <w:rFonts w:ascii="Cambria Math" w:hAnsi="Cambria Math"/>
                <w:sz w:val="22"/>
                <w:szCs w:val="22"/>
              </w:rPr>
            </m:ctrlPr>
          </m:sub>
        </m:sSub>
      </m:oMath>
      <w:r>
        <w:rPr>
          <w:sz w:val="22"/>
          <w:szCs w:val="22"/>
        </w:rPr>
        <w:t xml:space="preserve"> is the actual RF output power and </w:t>
      </w:r>
      <m:oMath>
        <m:r>
          <m:rPr/>
          <w:rPr>
            <w:rFonts w:ascii="Cambria Math" w:hAnsi="Cambria Math"/>
            <w:sz w:val="22"/>
            <w:szCs w:val="22"/>
          </w:rPr>
          <m:t>η</m:t>
        </m:r>
      </m:oMath>
      <w:r>
        <w:rPr>
          <w:sz w:val="22"/>
          <w:szCs w:val="22"/>
        </w:rPr>
        <w:t xml:space="preserve"> is efficiency, then the PA power draw </w:t>
      </w:r>
      <m:oMath>
        <m:sSub>
          <m:sSubPr>
            <m:ctrlPr>
              <w:rPr>
                <w:rFonts w:ascii="Cambria Math" w:hAnsi="Cambria Math"/>
                <w:sz w:val="22"/>
                <w:szCs w:val="22"/>
              </w:rPr>
            </m:ctrlPr>
          </m:sSubPr>
          <m:e>
            <m:r>
              <m:rPr/>
              <w:rPr>
                <w:rFonts w:ascii="Cambria Math" w:hAnsi="Cambria Math"/>
                <w:sz w:val="22"/>
                <w:szCs w:val="22"/>
              </w:rPr>
              <m:t>P</m:t>
            </m:r>
            <m:ctrlPr>
              <w:rPr>
                <w:rFonts w:ascii="Cambria Math" w:hAnsi="Cambria Math"/>
                <w:sz w:val="22"/>
                <w:szCs w:val="22"/>
              </w:rPr>
            </m:ctrlPr>
          </m:e>
          <m:sub>
            <m:r>
              <m:rPr/>
              <w:rPr>
                <w:rFonts w:ascii="Cambria Math" w:hAnsi="Cambria Math"/>
                <w:sz w:val="22"/>
                <w:szCs w:val="22"/>
              </w:rPr>
              <m:t>PA</m:t>
            </m:r>
            <m:ctrlPr>
              <w:rPr>
                <w:rFonts w:ascii="Cambria Math" w:hAnsi="Cambria Math"/>
                <w:sz w:val="22"/>
                <w:szCs w:val="22"/>
              </w:rPr>
            </m:ctrlPr>
          </m:sub>
        </m:sSub>
        <m:r>
          <m:rPr/>
          <w:rPr>
            <w:rFonts w:ascii="Cambria Math" w:hAnsi="Cambria Math"/>
            <w:sz w:val="22"/>
            <w:szCs w:val="22"/>
          </w:rPr>
          <m:t>=</m:t>
        </m:r>
        <m:sSub>
          <m:sSubPr>
            <m:ctrlPr>
              <w:rPr>
                <w:rFonts w:ascii="Cambria Math" w:hAnsi="Cambria Math"/>
                <w:sz w:val="22"/>
                <w:szCs w:val="22"/>
              </w:rPr>
            </m:ctrlPr>
          </m:sSubPr>
          <m:e>
            <m:r>
              <m:rPr/>
              <w:rPr>
                <w:rFonts w:ascii="Cambria Math" w:hAnsi="Cambria Math"/>
                <w:sz w:val="22"/>
                <w:szCs w:val="22"/>
              </w:rPr>
              <m:t>P</m:t>
            </m:r>
            <m:ctrlPr>
              <w:rPr>
                <w:rFonts w:ascii="Cambria Math" w:hAnsi="Cambria Math"/>
                <w:sz w:val="22"/>
                <w:szCs w:val="22"/>
              </w:rPr>
            </m:ctrlPr>
          </m:e>
          <m:sub>
            <m:r>
              <m:rPr/>
              <w:rPr>
                <w:rFonts w:ascii="Cambria Math" w:hAnsi="Cambria Math"/>
                <w:sz w:val="22"/>
                <w:szCs w:val="22"/>
              </w:rPr>
              <m:t>out</m:t>
            </m:r>
            <m:ctrlPr>
              <w:rPr>
                <w:rFonts w:ascii="Cambria Math" w:hAnsi="Cambria Math"/>
                <w:sz w:val="22"/>
                <w:szCs w:val="22"/>
              </w:rPr>
            </m:ctrlPr>
          </m:sub>
        </m:sSub>
        <m:r>
          <m:rPr/>
          <w:rPr>
            <w:rFonts w:ascii="Cambria Math" w:hAnsi="Cambria Math"/>
            <w:sz w:val="22"/>
            <w:szCs w:val="22"/>
          </w:rPr>
          <m:t>/η</m:t>
        </m:r>
      </m:oMath>
      <w:r>
        <w:rPr>
          <w:sz w:val="22"/>
          <w:szCs w:val="22"/>
        </w:rPr>
        <w:t xml:space="preserve">. In our model, the term </w:t>
      </w:r>
      <m:oMath>
        <m:sSub>
          <m:sSubPr>
            <m:ctrlPr>
              <w:rPr>
                <w:rFonts w:ascii="Cambria Math" w:hAnsi="Cambria Math"/>
                <w:sz w:val="22"/>
                <w:szCs w:val="22"/>
              </w:rPr>
            </m:ctrlPr>
          </m:sSubPr>
          <m:e>
            <m:r>
              <m:rPr/>
              <w:rPr>
                <w:rFonts w:ascii="Cambria Math" w:hAnsi="Cambria Math"/>
                <w:sz w:val="22"/>
                <w:szCs w:val="22"/>
              </w:rPr>
              <m:t>α</m:t>
            </m:r>
            <m:ctrlPr>
              <w:rPr>
                <w:rFonts w:ascii="Cambria Math" w:hAnsi="Cambria Math"/>
                <w:sz w:val="22"/>
                <w:szCs w:val="22"/>
              </w:rPr>
            </m:ctrlPr>
          </m:e>
          <m:sub>
            <m:r>
              <m:rPr/>
              <w:rPr>
                <w:rFonts w:ascii="Cambria Math" w:hAnsi="Cambria Math"/>
                <w:sz w:val="22"/>
                <w:szCs w:val="22"/>
              </w:rPr>
              <m:t>p</m:t>
            </m:r>
            <m:ctrlPr>
              <w:rPr>
                <w:rFonts w:ascii="Cambria Math" w:hAnsi="Cambria Math"/>
                <w:sz w:val="22"/>
                <w:szCs w:val="22"/>
              </w:rPr>
            </m:ctrlPr>
          </m:sub>
        </m:sSub>
      </m:oMath>
      <w:r>
        <w:rPr>
          <w:sz w:val="22"/>
          <w:szCs w:val="22"/>
        </w:rPr>
        <w:t xml:space="preserve"> can be refined as </w:t>
      </w:r>
      <m:oMath>
        <m:sSub>
          <m:sSubPr>
            <m:ctrlPr>
              <w:rPr>
                <w:rFonts w:ascii="Cambria Math" w:hAnsi="Cambria Math"/>
                <w:sz w:val="22"/>
                <w:szCs w:val="22"/>
              </w:rPr>
            </m:ctrlPr>
          </m:sSubPr>
          <m:e>
            <m:r>
              <m:rPr/>
              <w:rPr>
                <w:rFonts w:ascii="Cambria Math" w:hAnsi="Cambria Math"/>
                <w:sz w:val="22"/>
                <w:szCs w:val="22"/>
              </w:rPr>
              <m:t>α</m:t>
            </m:r>
            <m:ctrlPr>
              <w:rPr>
                <w:rFonts w:ascii="Cambria Math" w:hAnsi="Cambria Math"/>
                <w:sz w:val="22"/>
                <w:szCs w:val="22"/>
              </w:rPr>
            </m:ctrlPr>
          </m:e>
          <m:sub>
            <m:r>
              <m:rPr/>
              <w:rPr>
                <w:rFonts w:ascii="Cambria Math" w:hAnsi="Cambria Math"/>
                <w:sz w:val="22"/>
                <w:szCs w:val="22"/>
              </w:rPr>
              <m:t>p</m:t>
            </m:r>
            <m:ctrlPr>
              <w:rPr>
                <w:rFonts w:ascii="Cambria Math" w:hAnsi="Cambria Math"/>
                <w:sz w:val="22"/>
                <w:szCs w:val="22"/>
              </w:rPr>
            </m:ctrlPr>
          </m:sub>
        </m:sSub>
        <m:r>
          <m:rPr/>
          <w:rPr>
            <w:rFonts w:ascii="Cambria Math" w:hAnsi="Cambria Math"/>
            <w:sz w:val="22"/>
            <w:szCs w:val="22"/>
          </w:rPr>
          <m:t>=</m:t>
        </m:r>
        <m:sSub>
          <m:sSubPr>
            <m:ctrlPr>
              <w:rPr>
                <w:rFonts w:ascii="Cambria Math" w:hAnsi="Cambria Math"/>
                <w:sz w:val="22"/>
                <w:szCs w:val="22"/>
              </w:rPr>
            </m:ctrlPr>
          </m:sSubPr>
          <m:e>
            <m:r>
              <m:rPr/>
              <w:rPr>
                <w:rFonts w:ascii="Cambria Math" w:hAnsi="Cambria Math"/>
                <w:sz w:val="22"/>
                <w:szCs w:val="22"/>
              </w:rPr>
              <m:t>P</m:t>
            </m:r>
            <m:ctrlPr>
              <w:rPr>
                <w:rFonts w:ascii="Cambria Math" w:hAnsi="Cambria Math"/>
                <w:sz w:val="22"/>
                <w:szCs w:val="22"/>
              </w:rPr>
            </m:ctrlPr>
          </m:e>
          <m:sub>
            <m:r>
              <m:rPr/>
              <w:rPr>
                <w:rFonts w:ascii="Cambria Math" w:hAnsi="Cambria Math"/>
                <w:sz w:val="22"/>
                <w:szCs w:val="22"/>
              </w:rPr>
              <m:t>out</m:t>
            </m:r>
            <m:ctrlPr>
              <w:rPr>
                <w:rFonts w:ascii="Cambria Math" w:hAnsi="Cambria Math"/>
                <w:sz w:val="22"/>
                <w:szCs w:val="22"/>
              </w:rPr>
            </m:ctrlPr>
          </m:sub>
        </m:sSub>
        <m:r>
          <m:rPr/>
          <w:rPr>
            <w:rFonts w:ascii="Cambria Math" w:hAnsi="Cambria Math"/>
            <w:sz w:val="22"/>
            <w:szCs w:val="22"/>
          </w:rPr>
          <m:t>/</m:t>
        </m:r>
        <m:sSub>
          <m:sSubPr>
            <m:ctrlPr>
              <w:rPr>
                <w:rFonts w:ascii="Cambria Math" w:hAnsi="Cambria Math"/>
                <w:sz w:val="22"/>
                <w:szCs w:val="22"/>
              </w:rPr>
            </m:ctrlPr>
          </m:sSubPr>
          <m:e>
            <m:r>
              <m:rPr/>
              <w:rPr>
                <w:rFonts w:ascii="Cambria Math" w:hAnsi="Cambria Math"/>
                <w:sz w:val="22"/>
                <w:szCs w:val="22"/>
              </w:rPr>
              <m:t>P</m:t>
            </m:r>
            <m:ctrlPr>
              <w:rPr>
                <w:rFonts w:ascii="Cambria Math" w:hAnsi="Cambria Math"/>
                <w:sz w:val="22"/>
                <w:szCs w:val="22"/>
              </w:rPr>
            </m:ctrlPr>
          </m:e>
          <m:sub>
            <m:r>
              <m:rPr/>
              <w:rPr>
                <w:rFonts w:ascii="Cambria Math" w:hAnsi="Cambria Math"/>
                <w:sz w:val="22"/>
                <w:szCs w:val="22"/>
              </w:rPr>
              <m:t>max</m:t>
            </m:r>
            <m:ctrlPr>
              <w:rPr>
                <w:rFonts w:ascii="Cambria Math" w:hAnsi="Cambria Math"/>
                <w:sz w:val="22"/>
                <w:szCs w:val="22"/>
              </w:rPr>
            </m:ctrlPr>
          </m:sub>
        </m:sSub>
      </m:oMath>
      <w:r>
        <w:rPr>
          <w:sz w:val="22"/>
          <w:szCs w:val="22"/>
        </w:rPr>
        <w:t xml:space="preserve"> and then scaled by an </w:t>
      </w:r>
      <m:oMath>
        <m:r>
          <m:rPr/>
          <w:rPr>
            <w:rFonts w:ascii="Cambria Math" w:hAnsi="Cambria Math"/>
            <w:sz w:val="22"/>
            <w:szCs w:val="22"/>
          </w:rPr>
          <m:t>η</m:t>
        </m:r>
      </m:oMath>
      <w:r>
        <w:rPr>
          <w:sz w:val="22"/>
          <w:szCs w:val="22"/>
        </w:rPr>
        <w:t xml:space="preserve"> reference. For example, for CP-OFDM downlink we might set </w:t>
      </w:r>
      <m:oMath>
        <m:sSub>
          <m:sSubPr>
            <m:ctrlPr>
              <w:rPr>
                <w:rFonts w:ascii="Cambria Math" w:hAnsi="Cambria Math"/>
                <w:sz w:val="22"/>
                <w:szCs w:val="22"/>
              </w:rPr>
            </m:ctrlPr>
          </m:sSubPr>
          <m:e>
            <m:r>
              <m:rPr/>
              <w:rPr>
                <w:rFonts w:ascii="Cambria Math" w:hAnsi="Cambria Math"/>
                <w:sz w:val="22"/>
                <w:szCs w:val="22"/>
              </w:rPr>
              <m:t>η</m:t>
            </m:r>
            <m:ctrlPr>
              <w:rPr>
                <w:rFonts w:ascii="Cambria Math" w:hAnsi="Cambria Math"/>
                <w:sz w:val="22"/>
                <w:szCs w:val="22"/>
              </w:rPr>
            </m:ctrlPr>
          </m:e>
          <m:sub>
            <m:r>
              <m:rPr/>
              <w:rPr>
                <w:rFonts w:ascii="Cambria Math" w:hAnsi="Cambria Math"/>
                <w:sz w:val="22"/>
                <w:szCs w:val="22"/>
              </w:rPr>
              <m:t>ref</m:t>
            </m:r>
            <m:ctrlPr>
              <w:rPr>
                <w:rFonts w:ascii="Cambria Math" w:hAnsi="Cambria Math"/>
                <w:sz w:val="22"/>
                <w:szCs w:val="22"/>
              </w:rPr>
            </m:ctrlPr>
          </m:sub>
        </m:sSub>
        <m:r>
          <m:rPr/>
          <w:rPr>
            <w:rFonts w:ascii="Cambria Math" w:hAnsi="Cambria Math"/>
            <w:sz w:val="22"/>
            <w:szCs w:val="22"/>
          </w:rPr>
          <m:t>=0</m:t>
        </m:r>
        <m:r>
          <m:rPr/>
          <w:rPr>
            <w:rFonts w:ascii="DejaVu Math TeX Gyre" w:hAnsi="DejaVu Math TeX Gyre"/>
            <w:sz w:val="22"/>
            <w:szCs w:val="22"/>
          </w:rPr>
          <m:t>.</m:t>
        </m:r>
        <m:r>
          <m:rPr/>
          <w:rPr>
            <w:rFonts w:ascii="Cambria Math" w:hAnsi="Cambria Math"/>
            <w:sz w:val="22"/>
            <w:szCs w:val="22"/>
          </w:rPr>
          <m:t>2</m:t>
        </m:r>
      </m:oMath>
      <w:r>
        <w:rPr>
          <w:sz w:val="22"/>
          <w:szCs w:val="22"/>
        </w:rPr>
        <w:t xml:space="preserve">, while a more efficient mode (or DFT-s-OFDM uplink with lower PAPR) might effectively behave as </w:t>
      </w:r>
      <m:oMath>
        <m:sSub>
          <m:sSubPr>
            <m:ctrlPr>
              <w:rPr>
                <w:rFonts w:ascii="Cambria Math" w:hAnsi="Cambria Math"/>
                <w:sz w:val="22"/>
                <w:szCs w:val="22"/>
              </w:rPr>
            </m:ctrlPr>
          </m:sSubPr>
          <m:e>
            <m:r>
              <m:rPr/>
              <w:rPr>
                <w:rFonts w:ascii="Cambria Math" w:hAnsi="Cambria Math"/>
                <w:sz w:val="22"/>
                <w:szCs w:val="22"/>
              </w:rPr>
              <m:t>η</m:t>
            </m:r>
            <m:ctrlPr>
              <w:rPr>
                <w:rFonts w:ascii="Cambria Math" w:hAnsi="Cambria Math"/>
                <w:sz w:val="22"/>
                <w:szCs w:val="22"/>
              </w:rPr>
            </m:ctrlPr>
          </m:e>
          <m:sub>
            <m:r>
              <m:rPr/>
              <w:rPr>
                <w:rFonts w:ascii="Cambria Math" w:hAnsi="Cambria Math"/>
                <w:sz w:val="22"/>
                <w:szCs w:val="22"/>
              </w:rPr>
              <m:t>eff</m:t>
            </m:r>
            <m:ctrlPr>
              <w:rPr>
                <w:rFonts w:ascii="Cambria Math" w:hAnsi="Cambria Math"/>
                <w:sz w:val="22"/>
                <w:szCs w:val="22"/>
              </w:rPr>
            </m:ctrlPr>
          </m:sub>
        </m:sSub>
        <m:r>
          <m:rPr/>
          <w:rPr>
            <w:rFonts w:ascii="Cambria Math" w:hAnsi="Cambria Math"/>
            <w:sz w:val="22"/>
            <w:szCs w:val="22"/>
          </w:rPr>
          <m:t>=0</m:t>
        </m:r>
        <m:r>
          <m:rPr/>
          <w:rPr>
            <w:rFonts w:ascii="DejaVu Math TeX Gyre" w:hAnsi="DejaVu Math TeX Gyre"/>
            <w:sz w:val="22"/>
            <w:szCs w:val="22"/>
          </w:rPr>
          <m:t>.</m:t>
        </m:r>
        <m:r>
          <m:rPr/>
          <w:rPr>
            <w:rFonts w:ascii="Cambria Math" w:hAnsi="Cambria Math"/>
            <w:sz w:val="22"/>
            <w:szCs w:val="22"/>
          </w:rPr>
          <m:t>25</m:t>
        </m:r>
      </m:oMath>
      <w:r>
        <w:rPr>
          <w:sz w:val="22"/>
          <w:szCs w:val="22"/>
        </w:rPr>
        <w:t xml:space="preserve">. This nuance would allow the model to differentiate power consumption based on waveform and PA technology. All formulas remain of similar form, but </w:t>
      </w:r>
      <m:oMath>
        <m:sSub>
          <m:sSubPr>
            <m:ctrlPr>
              <w:rPr>
                <w:rFonts w:ascii="Cambria Math" w:hAnsi="Cambria Math"/>
                <w:sz w:val="22"/>
                <w:szCs w:val="22"/>
              </w:rPr>
            </m:ctrlPr>
          </m:sSubPr>
          <m:e>
            <m:r>
              <m:rPr/>
              <w:rPr>
                <w:rFonts w:ascii="Cambria Math" w:hAnsi="Cambria Math"/>
                <w:sz w:val="22"/>
                <w:szCs w:val="22"/>
              </w:rPr>
              <m:t>P</m:t>
            </m:r>
            <m:ctrlPr>
              <w:rPr>
                <w:rFonts w:ascii="Cambria Math" w:hAnsi="Cambria Math"/>
                <w:sz w:val="22"/>
                <w:szCs w:val="22"/>
              </w:rPr>
            </m:ctrlPr>
          </m:e>
          <m:sub>
            <m:r>
              <m:rPr/>
              <w:rPr>
                <w:rFonts w:ascii="Cambria Math" w:hAnsi="Cambria Math"/>
                <w:sz w:val="22"/>
                <w:szCs w:val="22"/>
              </w:rPr>
              <m:t>BS,DL(full)</m:t>
            </m:r>
            <m:ctrlPr>
              <w:rPr>
                <w:rFonts w:ascii="Cambria Math" w:hAnsi="Cambria Math"/>
                <w:sz w:val="22"/>
                <w:szCs w:val="22"/>
              </w:rPr>
            </m:ctrlPr>
          </m:sub>
        </m:sSub>
      </m:oMath>
      <w:r>
        <w:rPr>
          <w:sz w:val="22"/>
          <w:szCs w:val="22"/>
        </w:rPr>
        <w:t xml:space="preserve"> could be derived assuming a certain </w:t>
      </w:r>
      <m:oMath>
        <m:r>
          <m:rPr/>
          <w:rPr>
            <w:rFonts w:ascii="Cambria Math" w:hAnsi="Cambria Math"/>
            <w:sz w:val="22"/>
            <w:szCs w:val="22"/>
          </w:rPr>
          <m:t>η</m:t>
        </m:r>
      </m:oMath>
      <w:r>
        <w:rPr>
          <w:sz w:val="22"/>
          <w:szCs w:val="22"/>
        </w:rPr>
        <w:t xml:space="preserve">; switching waveforms or PA classes effectively changes </w:t>
      </w:r>
      <m:oMath>
        <m:sSub>
          <m:sSubPr>
            <m:ctrlPr>
              <w:rPr>
                <w:rFonts w:ascii="Cambria Math" w:hAnsi="Cambria Math"/>
                <w:sz w:val="22"/>
                <w:szCs w:val="22"/>
              </w:rPr>
            </m:ctrlPr>
          </m:sSubPr>
          <m:e>
            <m:r>
              <m:rPr/>
              <w:rPr>
                <w:rFonts w:ascii="Cambria Math" w:hAnsi="Cambria Math"/>
                <w:sz w:val="22"/>
                <w:szCs w:val="22"/>
              </w:rPr>
              <m:t>P</m:t>
            </m:r>
            <m:ctrlPr>
              <w:rPr>
                <w:rFonts w:ascii="Cambria Math" w:hAnsi="Cambria Math"/>
                <w:sz w:val="22"/>
                <w:szCs w:val="22"/>
              </w:rPr>
            </m:ctrlPr>
          </m:e>
          <m:sub>
            <m:r>
              <m:rPr/>
              <w:rPr>
                <w:rFonts w:ascii="Cambria Math" w:hAnsi="Cambria Math"/>
                <w:sz w:val="22"/>
                <w:szCs w:val="22"/>
              </w:rPr>
              <m:t>BS,DL(full)</m:t>
            </m:r>
            <m:ctrlPr>
              <w:rPr>
                <w:rFonts w:ascii="Cambria Math" w:hAnsi="Cambria Math"/>
                <w:sz w:val="22"/>
                <w:szCs w:val="22"/>
              </w:rPr>
            </m:ctrlPr>
          </m:sub>
        </m:sSub>
      </m:oMath>
      <w:r>
        <w:rPr>
          <w:sz w:val="22"/>
          <w:szCs w:val="22"/>
        </w:rPr>
        <w:t xml:space="preserve"> or the fraction of it used at lower power. For the sake of the 3GPP model documentation, this can be encapsulated by providing separate tables for different waveform/PA assumptions, or a correction factor for scenarios using e.g. DFT-s-OFDM in uplink</w:t>
      </w:r>
      <w:r>
        <w:rPr>
          <w:rFonts w:hint="default"/>
          <w:sz w:val="22"/>
          <w:szCs w:val="22"/>
          <w:lang w:val="en-US"/>
        </w:rPr>
        <w:t xml:space="preserve">, </w:t>
      </w:r>
      <w:r>
        <w:rPr>
          <w:sz w:val="22"/>
          <w:szCs w:val="22"/>
        </w:rPr>
        <w:t>which might slightly reduce BS receive power due to lower linearity requirements on uplink RF chain.</w:t>
      </w:r>
    </w:p>
    <w:p w14:paraId="546997E6">
      <w:pPr>
        <w:pStyle w:val="5"/>
        <w:rPr>
          <w:rFonts w:ascii="Times New Roman Bold Italic" w:hAnsi="Times New Roman Bold Italic" w:cs="Times New Roman Bold Italic"/>
          <w:b/>
          <w:bCs/>
          <w:i/>
          <w:iCs/>
          <w:sz w:val="22"/>
          <w:szCs w:val="22"/>
        </w:rPr>
      </w:pPr>
      <w:r>
        <w:rPr>
          <w:rFonts w:ascii="Times New Roman Bold Italic" w:hAnsi="Times New Roman Bold Italic" w:cs="Times New Roman Bold Italic"/>
          <w:b/>
          <w:bCs/>
          <w:i/>
          <w:iCs/>
          <w:sz w:val="22"/>
          <w:szCs w:val="22"/>
        </w:rPr>
        <w:t xml:space="preserve">Observation </w:t>
      </w:r>
      <w:r>
        <w:rPr>
          <w:rFonts w:hint="default" w:ascii="Times New Roman Bold Italic" w:hAnsi="Times New Roman Bold Italic" w:cs="Times New Roman Bold Italic"/>
          <w:b/>
          <w:bCs/>
          <w:i/>
          <w:iCs/>
          <w:sz w:val="22"/>
          <w:szCs w:val="22"/>
          <w:lang w:val="en-US"/>
        </w:rPr>
        <w:t>15</w:t>
      </w:r>
      <w:r>
        <w:rPr>
          <w:rFonts w:ascii="Times New Roman Bold Italic" w:hAnsi="Times New Roman Bold Italic" w:cs="Times New Roman Bold Italic"/>
          <w:b/>
          <w:bCs/>
          <w:i/>
          <w:iCs/>
          <w:sz w:val="22"/>
          <w:szCs w:val="22"/>
        </w:rPr>
        <w:t xml:space="preserve">:  The baseline NR model assumes CP-OFDM waveform (and DFT-s-OFDM for uplink) with the typical PA back-off requirements for that waveform’s PAPR. In 6G, while CP-OFDM will likely remain a primary waveform (for compatibility and multi-access), there is ongoing consideration of new waveforms or variants (e.g. spectrally localized or low-PAPR waveforms) for improved efficiency. </w:t>
      </w:r>
    </w:p>
    <w:p w14:paraId="6AC48675">
      <w:pPr>
        <w:pStyle w:val="85"/>
        <w:rPr>
          <w:sz w:val="22"/>
          <w:szCs w:val="22"/>
        </w:rPr>
      </w:pPr>
      <w:r>
        <w:rPr>
          <w:rFonts w:ascii="Times New Roman Bold Italic" w:hAnsi="Times New Roman Bold Italic" w:cs="Times New Roman Bold Italic"/>
          <w:b/>
          <w:bCs/>
          <w:i/>
          <w:iCs/>
          <w:sz w:val="22"/>
          <w:szCs w:val="22"/>
          <w:u w:val="single"/>
        </w:rPr>
        <w:t>(c) Frame Structure and Duplex Mode:</w:t>
      </w:r>
      <w:r>
        <w:rPr>
          <w:sz w:val="22"/>
          <w:szCs w:val="22"/>
        </w:rPr>
        <w:t xml:space="preserve"> The existing model focuses on TDD (all reference sets in TR 38.864 are TDD). In 6G, TDD will remain prevalent for mid/high bands, but there may be renewed interest in FDD for lower bands (to reuse legacy spectrum and enable continuous coverage). We propose extending the model to handle FDD operation, where downlink and uplink can be active simultaneously. In an FDD 6G BS, the power consumption in a given moment is roughly the sum of </w:t>
      </w:r>
      <w:r>
        <w:rPr>
          <w:i w:val="0"/>
          <w:iCs w:val="0"/>
          <w:sz w:val="22"/>
          <w:szCs w:val="22"/>
        </w:rPr>
        <w:t>downlink-chain power and uplink-chain power</w:t>
      </w:r>
      <w:r>
        <w:rPr>
          <w:sz w:val="22"/>
          <w:szCs w:val="22"/>
        </w:rPr>
        <w:t xml:space="preserve"> since separate transmit and receive chains operate concurrently. </w:t>
      </w:r>
    </w:p>
    <w:p w14:paraId="0250FD11">
      <w:pPr>
        <w:pStyle w:val="5"/>
        <w:rPr>
          <w:rFonts w:ascii="Times New Roman Bold Italic" w:hAnsi="Times New Roman Bold Italic" w:cs="Times New Roman Bold Italic"/>
          <w:b/>
          <w:bCs/>
          <w:i/>
          <w:iCs/>
          <w:sz w:val="22"/>
          <w:szCs w:val="22"/>
        </w:rPr>
      </w:pPr>
      <w:r>
        <w:rPr>
          <w:rFonts w:ascii="Times New Roman Bold Italic" w:hAnsi="Times New Roman Bold Italic" w:cs="Times New Roman Bold Italic"/>
          <w:b/>
          <w:bCs/>
          <w:i/>
          <w:iCs/>
          <w:sz w:val="22"/>
          <w:szCs w:val="22"/>
        </w:rPr>
        <w:t xml:space="preserve">Observation </w:t>
      </w:r>
      <w:r>
        <w:rPr>
          <w:rFonts w:hint="default" w:ascii="Times New Roman Bold Italic" w:hAnsi="Times New Roman Bold Italic" w:cs="Times New Roman Bold Italic"/>
          <w:b/>
          <w:bCs/>
          <w:i/>
          <w:iCs/>
          <w:sz w:val="22"/>
          <w:szCs w:val="22"/>
          <w:lang w:val="en-US"/>
        </w:rPr>
        <w:t>16</w:t>
      </w:r>
      <w:r>
        <w:rPr>
          <w:rFonts w:ascii="Times New Roman Bold Italic" w:hAnsi="Times New Roman Bold Italic" w:cs="Times New Roman Bold Italic"/>
          <w:b/>
          <w:bCs/>
          <w:i/>
          <w:iCs/>
          <w:sz w:val="22"/>
          <w:szCs w:val="22"/>
        </w:rPr>
        <w:t>: The existing model focuses on TDD (all reference sets in TR 38.864 are TDD). In 6G, TDD will remain prevalent for mid/high bands, but there may be renewed interest in FDD for lower bands.</w:t>
      </w:r>
    </w:p>
    <w:p w14:paraId="67AC3834">
      <w:pPr>
        <w:pStyle w:val="5"/>
        <w:rPr>
          <w:sz w:val="22"/>
          <w:szCs w:val="22"/>
        </w:rPr>
      </w:pPr>
      <w:r>
        <w:rPr>
          <w:sz w:val="22"/>
          <w:szCs w:val="22"/>
        </w:rPr>
        <w:t xml:space="preserve">For frame structure elements like SCS and slot length, the 5G model used “per slot” power values normalized to a nominal slot duration. In 6G, with potentially a wider range of SCS (e.g. extremely low SCS for coverage or high SCS for low-latency), it is prudent to normalize power consumption to a standard time unit (e.g. per 1 ms or per second). We propose that 6G evaluations use a uniform time base for power reporting (e.g. mW per second or Joules per second) rather than per slot, or else explicitly scale the values for the slot duration. This avoids confusion when comparing power in a 60 kHz SCS system vs a 15 kHz SCS system. In any case, the model’s scaling with </w:t>
      </w:r>
      <m:oMath>
        <m:sSub>
          <m:sSubPr>
            <m:ctrlPr>
              <w:rPr>
                <w:rFonts w:ascii="Cambria Math" w:hAnsi="Cambria Math"/>
                <w:sz w:val="22"/>
                <w:szCs w:val="22"/>
              </w:rPr>
            </m:ctrlPr>
          </m:sSubPr>
          <m:e>
            <m:r>
              <m:rPr/>
              <w:rPr>
                <w:rFonts w:ascii="Cambria Math" w:hAnsi="Cambria Math"/>
                <w:sz w:val="22"/>
                <w:szCs w:val="22"/>
              </w:rPr>
              <m:t>α</m:t>
            </m:r>
            <m:ctrlPr>
              <w:rPr>
                <w:rFonts w:ascii="Cambria Math" w:hAnsi="Cambria Math"/>
                <w:sz w:val="22"/>
                <w:szCs w:val="22"/>
              </w:rPr>
            </m:ctrlPr>
          </m:e>
          <m:sub>
            <m:r>
              <m:rPr/>
              <w:rPr>
                <w:rFonts w:ascii="Cambria Math" w:hAnsi="Cambria Math"/>
                <w:sz w:val="22"/>
                <w:szCs w:val="22"/>
              </w:rPr>
              <m:t>t</m:t>
            </m:r>
            <m:ctrlPr>
              <w:rPr>
                <w:rFonts w:ascii="Cambria Math" w:hAnsi="Cambria Math"/>
                <w:sz w:val="22"/>
                <w:szCs w:val="22"/>
              </w:rPr>
            </m:ctrlPr>
          </m:sub>
        </m:sSub>
      </m:oMath>
      <w:r>
        <w:rPr>
          <w:sz w:val="22"/>
          <w:szCs w:val="22"/>
        </w:rPr>
        <w:t xml:space="preserve"> inherently handles different slot structures: e.g. if a 60 kHz slot is half the duration of a 30 kHz slot, then to occupy the same absolute time fraction, </w:t>
      </w:r>
      <m:oMath>
        <m:sSub>
          <m:sSubPr>
            <m:ctrlPr>
              <w:rPr>
                <w:rFonts w:ascii="Cambria Math" w:hAnsi="Cambria Math"/>
                <w:sz w:val="22"/>
                <w:szCs w:val="22"/>
              </w:rPr>
            </m:ctrlPr>
          </m:sSubPr>
          <m:e>
            <m:r>
              <m:rPr/>
              <w:rPr>
                <w:rFonts w:ascii="Cambria Math" w:hAnsi="Cambria Math"/>
                <w:sz w:val="22"/>
                <w:szCs w:val="22"/>
              </w:rPr>
              <m:t>α</m:t>
            </m:r>
            <m:ctrlPr>
              <w:rPr>
                <w:rFonts w:ascii="Cambria Math" w:hAnsi="Cambria Math"/>
                <w:sz w:val="22"/>
                <w:szCs w:val="22"/>
              </w:rPr>
            </m:ctrlPr>
          </m:e>
          <m:sub>
            <m:r>
              <m:rPr/>
              <w:rPr>
                <w:rFonts w:ascii="Cambria Math" w:hAnsi="Cambria Math"/>
                <w:sz w:val="22"/>
                <w:szCs w:val="22"/>
              </w:rPr>
              <m:t>t</m:t>
            </m:r>
            <m:ctrlPr>
              <w:rPr>
                <w:rFonts w:ascii="Cambria Math" w:hAnsi="Cambria Math"/>
                <w:sz w:val="22"/>
                <w:szCs w:val="22"/>
              </w:rPr>
            </m:ctrlPr>
          </m:sub>
        </m:sSub>
      </m:oMath>
      <w:r>
        <w:rPr>
          <w:sz w:val="22"/>
          <w:szCs w:val="22"/>
        </w:rPr>
        <w:t xml:space="preserve"> would differ appropriately.</w:t>
      </w:r>
    </w:p>
    <w:p w14:paraId="021FF2A7">
      <w:pPr>
        <w:pStyle w:val="5"/>
        <w:rPr>
          <w:sz w:val="22"/>
          <w:szCs w:val="22"/>
        </w:rPr>
      </w:pPr>
      <w:r>
        <w:rPr>
          <w:rFonts w:hint="eastAsia" w:ascii="Times New Roman Bold Italic" w:hAnsi="Times New Roman Bold Italic" w:cs="Times New Roman Bold Italic"/>
          <w:b/>
          <w:bCs/>
          <w:i/>
          <w:iCs/>
          <w:sz w:val="22"/>
          <w:szCs w:val="22"/>
          <w:u w:val="single"/>
          <w:lang w:eastAsia="zh-CN"/>
        </w:rPr>
        <w:t>（d）</w:t>
      </w:r>
      <w:r>
        <w:rPr>
          <w:rFonts w:ascii="Times New Roman Bold Italic" w:hAnsi="Times New Roman Bold Italic" w:cs="Times New Roman Bold Italic"/>
          <w:b/>
          <w:bCs/>
          <w:i/>
          <w:iCs/>
          <w:sz w:val="22"/>
          <w:szCs w:val="22"/>
          <w:u w:val="single"/>
        </w:rPr>
        <w:t>Additional Sleep States or Transitions:</w:t>
      </w:r>
      <w:r>
        <w:rPr>
          <w:sz w:val="22"/>
          <w:szCs w:val="22"/>
        </w:rPr>
        <w:t xml:space="preserve"> We also consider introducing intermediate power states that could model emerging hardware capabilities. For example, a 6G BS might support an ultra-deep sleep (turning off even more components than the Rel-18 deep sleep, possibly enabled by novel hardware) . This could be used for light waking-up function at BS UL receiver. While the specifics are to be studied, the model can be extensible: e.g. adding a “shutdown” state where a cell is virtually off (except for a wake-up receiver or timer) with power nearly zero, but with a significant reactivation cost (seconds to minutes). This could align with on/off cell paradigms (turning off cells during very low traffic periods). In modeling terms, we would add a new row in the power state table (analogous to Table 3 in TR 38.864) with a relative power (perhaps 0.1× deep sleep or similar) and a transition time (perhaps tens of seconds). This state could be used in 6G simulations to assess the benefit of completely shutting off hardware vs cycling in and out of deep sleep. </w:t>
      </w:r>
    </w:p>
    <w:p w14:paraId="0DA12874">
      <w:pPr>
        <w:pStyle w:val="5"/>
        <w:rPr>
          <w:b/>
          <w:bCs/>
          <w:i/>
          <w:iCs/>
          <w:sz w:val="22"/>
          <w:szCs w:val="22"/>
        </w:rPr>
      </w:pPr>
      <w:r>
        <w:rPr>
          <w:b/>
          <w:bCs/>
          <w:i/>
          <w:iCs/>
          <w:sz w:val="22"/>
          <w:szCs w:val="22"/>
        </w:rPr>
        <w:t xml:space="preserve">Observation </w:t>
      </w:r>
      <w:r>
        <w:rPr>
          <w:rFonts w:hint="default"/>
          <w:b/>
          <w:bCs/>
          <w:i/>
          <w:iCs/>
          <w:sz w:val="22"/>
          <w:szCs w:val="22"/>
          <w:lang w:val="en-US"/>
        </w:rPr>
        <w:t>17</w:t>
      </w:r>
      <w:r>
        <w:rPr>
          <w:b/>
          <w:bCs/>
          <w:i/>
          <w:iCs/>
          <w:sz w:val="22"/>
          <w:szCs w:val="22"/>
        </w:rPr>
        <w:t xml:space="preserve">: If 6G BS might support an ultra-deep sleep </w:t>
      </w:r>
      <w:r>
        <w:rPr>
          <w:rFonts w:ascii="Times New Roman Bold Italic" w:hAnsi="Times New Roman Bold Italic" w:cs="Times New Roman Bold Italic"/>
          <w:b/>
          <w:bCs/>
          <w:i/>
          <w:iCs/>
          <w:sz w:val="22"/>
          <w:szCs w:val="22"/>
        </w:rPr>
        <w:t>(turning off even more components than the Rel-18 deep sleep, possibly enabled by novel hardware) ,</w:t>
      </w:r>
      <w:r>
        <w:rPr>
          <w:b/>
          <w:bCs/>
          <w:i/>
          <w:iCs/>
          <w:sz w:val="22"/>
          <w:szCs w:val="22"/>
        </w:rPr>
        <w:t xml:space="preserve"> which could be used for light waking-up function at BS UL receiver.</w:t>
      </w:r>
    </w:p>
    <w:p w14:paraId="266BFF24">
      <w:pPr>
        <w:pStyle w:val="3"/>
        <w:numPr>
          <w:ilvl w:val="1"/>
          <w:numId w:val="0"/>
        </w:numPr>
        <w:rPr>
          <w:szCs w:val="24"/>
          <w:lang w:eastAsia="zh-CN"/>
        </w:rPr>
      </w:pPr>
      <w:r>
        <w:rPr>
          <w:lang w:eastAsia="zh-CN"/>
        </w:rPr>
        <w:t>4</w:t>
      </w:r>
      <w:r>
        <w:rPr>
          <w:rFonts w:hint="eastAsia"/>
          <w:lang w:eastAsia="zh-CN"/>
        </w:rPr>
        <w:t>.2</w:t>
      </w:r>
      <w:r>
        <w:rPr>
          <w:lang w:eastAsia="zh-CN"/>
        </w:rPr>
        <w:t xml:space="preserve"> </w:t>
      </w:r>
      <w:r>
        <w:rPr>
          <w:szCs w:val="24"/>
        </w:rPr>
        <w:t xml:space="preserve">6G </w:t>
      </w:r>
      <w:r>
        <w:rPr>
          <w:rFonts w:hint="eastAsia"/>
          <w:szCs w:val="24"/>
          <w:lang w:eastAsia="zh-CN"/>
        </w:rPr>
        <w:t xml:space="preserve">UE considerations </w:t>
      </w:r>
    </w:p>
    <w:bookmarkEnd w:id="12"/>
    <w:p w14:paraId="24555447">
      <w:pPr>
        <w:pStyle w:val="5"/>
        <w:rPr>
          <w:lang w:eastAsia="zh-CN"/>
        </w:rPr>
      </w:pPr>
      <w:r>
        <w:rPr>
          <w:lang w:eastAsia="zh-CN"/>
        </w:rPr>
        <w:t xml:space="preserve">The UE power models were widely discussed in NR and were captured in TR38.840, </w:t>
      </w:r>
      <w:r>
        <w:t xml:space="preserve">TR38.875, TR38.865 </w:t>
      </w:r>
      <w:r>
        <w:rPr>
          <w:lang w:eastAsia="zh-CN"/>
        </w:rPr>
        <w:t xml:space="preserve">and TR38.869. These power models are considered as the starting point for 6GR. In RAN1#122b meeting, the following agreements on the UE power models were achieved. In this section, we will further discuss the UE power model for further evaluations.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357A48F7">
        <w:tc>
          <w:tcPr>
            <w:tcW w:w="9307" w:type="dxa"/>
          </w:tcPr>
          <w:p w14:paraId="551ABB5E">
            <w:pPr>
              <w:widowControl w:val="0"/>
              <w:tabs>
                <w:tab w:val="left" w:pos="0"/>
              </w:tabs>
              <w:spacing w:line="256" w:lineRule="auto"/>
              <w:rPr>
                <w:rFonts w:cs="Arial" w:eastAsiaTheme="minorEastAsia"/>
                <w:sz w:val="20"/>
                <w:szCs w:val="20"/>
                <w:highlight w:val="green"/>
                <w:lang w:eastAsia="zh-CN"/>
              </w:rPr>
            </w:pPr>
            <w:bookmarkStart w:id="13" w:name="_Hlk213071924"/>
            <w:r>
              <w:rPr>
                <w:rFonts w:hint="eastAsia" w:cs="Arial" w:eastAsiaTheme="minorEastAsia"/>
                <w:sz w:val="20"/>
                <w:szCs w:val="20"/>
                <w:highlight w:val="green"/>
                <w:lang w:eastAsia="zh-CN"/>
              </w:rPr>
              <w:t>Agreement</w:t>
            </w:r>
          </w:p>
          <w:p w14:paraId="4E202072">
            <w:pPr>
              <w:widowControl w:val="0"/>
              <w:tabs>
                <w:tab w:val="left" w:pos="0"/>
              </w:tabs>
              <w:spacing w:line="254" w:lineRule="auto"/>
              <w:rPr>
                <w:sz w:val="20"/>
                <w:szCs w:val="20"/>
              </w:rPr>
            </w:pPr>
            <w:r>
              <w:rPr>
                <w:sz w:val="20"/>
                <w:szCs w:val="20"/>
              </w:rPr>
              <w:t xml:space="preserve">For 6GR energy efficiency evaluation purposes, reuse the existing UE power consumption model FR1 and FR2 reference configurations in TR 38.840 for operation </w:t>
            </w:r>
            <w:r>
              <w:rPr>
                <w:rFonts w:hint="eastAsia" w:eastAsiaTheme="minorEastAsia"/>
                <w:sz w:val="20"/>
                <w:szCs w:val="20"/>
                <w:lang w:eastAsia="zh-CN"/>
              </w:rPr>
              <w:t>up to around</w:t>
            </w:r>
            <w:r>
              <w:rPr>
                <w:rFonts w:hint="eastAsia"/>
                <w:sz w:val="20"/>
                <w:szCs w:val="20"/>
              </w:rPr>
              <w:t xml:space="preserve"> 7GHz</w:t>
            </w:r>
            <w:r>
              <w:rPr>
                <w:sz w:val="20"/>
                <w:szCs w:val="20"/>
              </w:rPr>
              <w:t xml:space="preserve"> and within </w:t>
            </w:r>
            <w:bookmarkStart w:id="14" w:name="_Hlk213072075"/>
            <w:r>
              <w:rPr>
                <w:sz w:val="20"/>
                <w:szCs w:val="20"/>
              </w:rPr>
              <w:t>24.25 GHz – 52.6 GHz</w:t>
            </w:r>
            <w:bookmarkEnd w:id="14"/>
            <w:r>
              <w:rPr>
                <w:sz w:val="20"/>
                <w:szCs w:val="20"/>
              </w:rPr>
              <w:t>, respectively.</w:t>
            </w:r>
          </w:p>
          <w:p w14:paraId="256F5ABB">
            <w:pPr>
              <w:widowControl w:val="0"/>
              <w:numPr>
                <w:ilvl w:val="0"/>
                <w:numId w:val="21"/>
              </w:numPr>
              <w:tabs>
                <w:tab w:val="left" w:pos="0"/>
              </w:tabs>
              <w:suppressAutoHyphens/>
              <w:autoSpaceDE/>
              <w:autoSpaceDN/>
              <w:adjustRightInd/>
              <w:snapToGrid/>
              <w:spacing w:after="0" w:line="254" w:lineRule="auto"/>
              <w:rPr>
                <w:sz w:val="20"/>
                <w:szCs w:val="20"/>
              </w:rPr>
            </w:pPr>
            <w:r>
              <w:rPr>
                <w:sz w:val="20"/>
                <w:szCs w:val="20"/>
              </w:rPr>
              <w:t>Scaling rules can be updated, including additional rule(s) for scaling UE power consumption</w:t>
            </w:r>
            <w:r>
              <w:rPr>
                <w:rFonts w:hint="eastAsia" w:eastAsiaTheme="minorEastAsia"/>
                <w:sz w:val="20"/>
                <w:szCs w:val="20"/>
                <w:lang w:eastAsia="zh-CN"/>
              </w:rPr>
              <w:t>, and including around 7GHz specific update</w:t>
            </w:r>
          </w:p>
          <w:p w14:paraId="2A901121">
            <w:pPr>
              <w:widowControl w:val="0"/>
              <w:numPr>
                <w:ilvl w:val="1"/>
                <w:numId w:val="21"/>
              </w:numPr>
              <w:tabs>
                <w:tab w:val="left" w:pos="0"/>
              </w:tabs>
              <w:suppressAutoHyphens/>
              <w:autoSpaceDE/>
              <w:autoSpaceDN/>
              <w:adjustRightInd/>
              <w:snapToGrid/>
              <w:spacing w:after="0" w:line="254" w:lineRule="auto"/>
              <w:rPr>
                <w:sz w:val="20"/>
                <w:szCs w:val="20"/>
              </w:rPr>
            </w:pPr>
            <w:r>
              <w:rPr>
                <w:sz w:val="20"/>
                <w:szCs w:val="20"/>
              </w:rPr>
              <w:t>FFS: details.</w:t>
            </w:r>
          </w:p>
          <w:p w14:paraId="0E2496A6">
            <w:pPr>
              <w:widowControl w:val="0"/>
              <w:numPr>
                <w:ilvl w:val="0"/>
                <w:numId w:val="21"/>
              </w:numPr>
              <w:tabs>
                <w:tab w:val="left" w:pos="0"/>
              </w:tabs>
              <w:suppressAutoHyphens/>
              <w:autoSpaceDE/>
              <w:autoSpaceDN/>
              <w:adjustRightInd/>
              <w:snapToGrid/>
              <w:spacing w:after="0" w:line="254" w:lineRule="auto"/>
              <w:rPr>
                <w:sz w:val="20"/>
                <w:szCs w:val="20"/>
              </w:rPr>
            </w:pPr>
            <w:r>
              <w:rPr>
                <w:sz w:val="20"/>
                <w:szCs w:val="20"/>
              </w:rPr>
              <w:t>Power value and transition time update, if necessary</w:t>
            </w:r>
            <w:r>
              <w:rPr>
                <w:rFonts w:hint="eastAsia" w:eastAsiaTheme="minorEastAsia"/>
                <w:sz w:val="20"/>
                <w:szCs w:val="20"/>
                <w:lang w:eastAsia="zh-CN"/>
              </w:rPr>
              <w:t>, including around 7GHz specific update</w:t>
            </w:r>
          </w:p>
          <w:p w14:paraId="28B63EB5">
            <w:pPr>
              <w:widowControl w:val="0"/>
              <w:numPr>
                <w:ilvl w:val="0"/>
                <w:numId w:val="21"/>
              </w:numPr>
              <w:tabs>
                <w:tab w:val="left" w:pos="0"/>
              </w:tabs>
              <w:suppressAutoHyphens/>
              <w:autoSpaceDE/>
              <w:autoSpaceDN/>
              <w:adjustRightInd/>
              <w:snapToGrid/>
              <w:spacing w:after="0" w:line="254" w:lineRule="auto"/>
              <w:rPr>
                <w:sz w:val="20"/>
                <w:szCs w:val="20"/>
              </w:rPr>
            </w:pPr>
            <w:r>
              <w:rPr>
                <w:sz w:val="20"/>
                <w:szCs w:val="20"/>
              </w:rPr>
              <w:t>No implication on supported BW, SCS, modulation and antenna setting for 6GR</w:t>
            </w:r>
          </w:p>
          <w:p w14:paraId="58E855F3">
            <w:pPr>
              <w:widowControl w:val="0"/>
              <w:numPr>
                <w:ilvl w:val="0"/>
                <w:numId w:val="21"/>
              </w:numPr>
              <w:tabs>
                <w:tab w:val="left" w:pos="0"/>
              </w:tabs>
              <w:suppressAutoHyphens/>
              <w:autoSpaceDE/>
              <w:autoSpaceDN/>
              <w:adjustRightInd/>
              <w:snapToGrid/>
              <w:spacing w:after="0" w:line="254" w:lineRule="auto"/>
              <w:rPr>
                <w:sz w:val="20"/>
                <w:szCs w:val="20"/>
              </w:rPr>
            </w:pPr>
            <w:r>
              <w:rPr>
                <w:rFonts w:eastAsiaTheme="minorEastAsia"/>
                <w:sz w:val="20"/>
                <w:szCs w:val="20"/>
                <w:lang w:eastAsia="zh-CN"/>
              </w:rPr>
              <w:t>R</w:t>
            </w:r>
            <w:r>
              <w:rPr>
                <w:rFonts w:hint="eastAsia" w:eastAsiaTheme="minorEastAsia"/>
                <w:sz w:val="20"/>
                <w:szCs w:val="20"/>
                <w:lang w:eastAsia="zh-CN"/>
              </w:rPr>
              <w:t xml:space="preserve">evisit if SCS for around 7GHz is different with respect to the reference </w:t>
            </w:r>
            <w:r>
              <w:rPr>
                <w:rFonts w:eastAsiaTheme="minorEastAsia"/>
                <w:sz w:val="20"/>
                <w:szCs w:val="20"/>
                <w:lang w:eastAsia="zh-CN"/>
              </w:rPr>
              <w:t>configuration</w:t>
            </w:r>
            <w:bookmarkEnd w:id="13"/>
          </w:p>
          <w:p w14:paraId="6B6F0023">
            <w:pPr>
              <w:widowControl w:val="0"/>
              <w:tabs>
                <w:tab w:val="left" w:pos="0"/>
              </w:tabs>
              <w:suppressAutoHyphens/>
              <w:spacing w:line="256" w:lineRule="auto"/>
              <w:rPr>
                <w:rFonts w:cs="Arial" w:eastAsiaTheme="minorEastAsia"/>
                <w:sz w:val="20"/>
                <w:szCs w:val="20"/>
                <w:highlight w:val="green"/>
                <w:lang w:eastAsia="zh-CN"/>
              </w:rPr>
            </w:pPr>
            <w:r>
              <w:rPr>
                <w:rFonts w:hint="eastAsia" w:cs="Arial" w:eastAsiaTheme="minorEastAsia"/>
                <w:sz w:val="20"/>
                <w:szCs w:val="20"/>
                <w:highlight w:val="green"/>
                <w:lang w:eastAsia="zh-CN"/>
              </w:rPr>
              <w:t>Agreement</w:t>
            </w:r>
          </w:p>
          <w:p w14:paraId="5147BBF8">
            <w:pPr>
              <w:widowControl w:val="0"/>
              <w:spacing w:line="256" w:lineRule="auto"/>
              <w:rPr>
                <w:sz w:val="20"/>
                <w:szCs w:val="20"/>
              </w:rPr>
            </w:pPr>
            <w:r>
              <w:rPr>
                <w:sz w:val="20"/>
                <w:szCs w:val="20"/>
              </w:rPr>
              <w:t xml:space="preserve">For evaluation purposes, study extending </w:t>
            </w:r>
            <w:r>
              <w:rPr>
                <w:rFonts w:hint="eastAsia"/>
                <w:sz w:val="20"/>
                <w:szCs w:val="20"/>
              </w:rPr>
              <w:t>NR</w:t>
            </w:r>
            <w:r>
              <w:rPr>
                <w:sz w:val="20"/>
                <w:szCs w:val="20"/>
              </w:rPr>
              <w:t xml:space="preserve"> UE power consumption scaling w.r.t. </w:t>
            </w:r>
            <w:r>
              <w:rPr>
                <w:rFonts w:hint="eastAsia" w:eastAsiaTheme="minorEastAsia"/>
                <w:sz w:val="20"/>
                <w:szCs w:val="20"/>
                <w:lang w:eastAsia="zh-CN"/>
              </w:rPr>
              <w:t xml:space="preserve">at least </w:t>
            </w:r>
            <w:r>
              <w:rPr>
                <w:sz w:val="20"/>
                <w:szCs w:val="20"/>
              </w:rPr>
              <w:t xml:space="preserve">BW and/or antenna setting, considering </w:t>
            </w:r>
            <w:r>
              <w:rPr>
                <w:rFonts w:hint="eastAsia" w:eastAsiaTheme="minorEastAsia"/>
                <w:sz w:val="20"/>
                <w:szCs w:val="20"/>
                <w:lang w:eastAsia="zh-CN"/>
              </w:rPr>
              <w:t xml:space="preserve">at least </w:t>
            </w:r>
            <w:r>
              <w:rPr>
                <w:sz w:val="20"/>
                <w:szCs w:val="20"/>
              </w:rPr>
              <w:t>the different characteristics in RF</w:t>
            </w:r>
            <w:r>
              <w:rPr>
                <w:rFonts w:hint="eastAsia"/>
                <w:sz w:val="20"/>
                <w:szCs w:val="20"/>
              </w:rPr>
              <w:t>/</w:t>
            </w:r>
            <w:r>
              <w:rPr>
                <w:sz w:val="20"/>
                <w:szCs w:val="20"/>
              </w:rPr>
              <w:t>BB power consumption and static/dynamic power consumption.</w:t>
            </w:r>
          </w:p>
          <w:p w14:paraId="27546DE2">
            <w:pPr>
              <w:widowControl w:val="0"/>
              <w:tabs>
                <w:tab w:val="left" w:pos="0"/>
              </w:tabs>
              <w:suppressAutoHyphens/>
              <w:spacing w:line="256" w:lineRule="auto"/>
              <w:rPr>
                <w:rFonts w:cs="Arial" w:eastAsiaTheme="minorEastAsia"/>
                <w:sz w:val="20"/>
                <w:szCs w:val="20"/>
                <w:highlight w:val="green"/>
                <w:lang w:eastAsia="zh-CN"/>
              </w:rPr>
            </w:pPr>
            <w:r>
              <w:rPr>
                <w:rFonts w:hint="eastAsia" w:cs="Arial" w:eastAsiaTheme="minorEastAsia"/>
                <w:sz w:val="20"/>
                <w:szCs w:val="20"/>
                <w:highlight w:val="green"/>
                <w:lang w:eastAsia="zh-CN"/>
              </w:rPr>
              <w:t>Agreement</w:t>
            </w:r>
          </w:p>
          <w:p w14:paraId="139359A1">
            <w:pPr>
              <w:widowControl w:val="0"/>
              <w:spacing w:line="256" w:lineRule="auto"/>
              <w:rPr>
                <w:rFonts w:eastAsia="PMingLiU" w:cs="Arial"/>
                <w:sz w:val="20"/>
                <w:szCs w:val="20"/>
                <w:lang w:eastAsia="zh-TW"/>
              </w:rPr>
            </w:pPr>
            <w:r>
              <w:rPr>
                <w:rFonts w:eastAsia="PMingLiU" w:cs="Arial"/>
                <w:sz w:val="20"/>
                <w:szCs w:val="20"/>
                <w:lang w:eastAsia="zh-TW"/>
              </w:rPr>
              <w:t>For evaluation purpose</w:t>
            </w:r>
            <w:r>
              <w:rPr>
                <w:rFonts w:hint="eastAsia" w:eastAsia="PMingLiU" w:cs="Arial"/>
                <w:sz w:val="20"/>
                <w:szCs w:val="20"/>
                <w:lang w:eastAsia="zh-TW"/>
              </w:rPr>
              <w:t>s</w:t>
            </w:r>
            <w:r>
              <w:rPr>
                <w:rFonts w:eastAsia="PMingLiU" w:cs="Arial"/>
                <w:sz w:val="20"/>
                <w:szCs w:val="20"/>
                <w:lang w:eastAsia="zh-TW"/>
              </w:rPr>
              <w:t xml:space="preserve">, study extending </w:t>
            </w:r>
            <w:r>
              <w:rPr>
                <w:rFonts w:hint="eastAsia" w:eastAsia="PMingLiU" w:cs="Arial"/>
                <w:sz w:val="20"/>
                <w:szCs w:val="20"/>
                <w:lang w:eastAsia="zh-TW"/>
              </w:rPr>
              <w:t>NR</w:t>
            </w:r>
            <w:r>
              <w:rPr>
                <w:rFonts w:eastAsia="PMingLiU" w:cs="Arial"/>
                <w:sz w:val="20"/>
                <w:szCs w:val="20"/>
                <w:lang w:eastAsia="zh-TW"/>
              </w:rPr>
              <w:t xml:space="preserve"> UE power consumption model for UE operation with </w:t>
            </w:r>
            <w:r>
              <w:rPr>
                <w:rFonts w:hint="eastAsia" w:eastAsia="PMingLiU" w:cs="Arial"/>
                <w:sz w:val="20"/>
                <w:szCs w:val="20"/>
                <w:lang w:eastAsia="zh-TW"/>
              </w:rPr>
              <w:t xml:space="preserve">DL </w:t>
            </w:r>
            <w:r>
              <w:rPr>
                <w:rFonts w:eastAsia="PMingLiU" w:cs="Arial"/>
                <w:sz w:val="20"/>
                <w:szCs w:val="20"/>
                <w:lang w:eastAsia="zh-TW"/>
              </w:rPr>
              <w:t>WUS of OFDM-based sequence, regarding the following aspects:</w:t>
            </w:r>
          </w:p>
          <w:p w14:paraId="44155622">
            <w:pPr>
              <w:widowControl w:val="0"/>
              <w:numPr>
                <w:ilvl w:val="0"/>
                <w:numId w:val="22"/>
              </w:numPr>
              <w:suppressAutoHyphens/>
              <w:autoSpaceDE/>
              <w:autoSpaceDN/>
              <w:adjustRightInd/>
              <w:snapToGrid/>
              <w:spacing w:after="0" w:line="256" w:lineRule="auto"/>
              <w:ind w:left="714" w:hanging="357"/>
              <w:rPr>
                <w:rFonts w:eastAsia="PMingLiU" w:cs="Arial"/>
                <w:sz w:val="20"/>
                <w:szCs w:val="20"/>
                <w:lang w:eastAsia="zh-TW"/>
              </w:rPr>
            </w:pPr>
            <w:r>
              <w:rPr>
                <w:rFonts w:eastAsia="PMingLiU" w:cs="Arial"/>
                <w:sz w:val="20"/>
                <w:szCs w:val="20"/>
                <w:lang w:eastAsia="zh-TW"/>
              </w:rPr>
              <w:t>Power state(s), sleep and non-sleep</w:t>
            </w:r>
            <w:r>
              <w:rPr>
                <w:rFonts w:hint="eastAsia" w:eastAsia="PMingLiU" w:cs="Arial"/>
                <w:sz w:val="20"/>
                <w:szCs w:val="20"/>
                <w:lang w:eastAsia="zh-TW"/>
              </w:rPr>
              <w:t>,</w:t>
            </w:r>
            <w:r>
              <w:rPr>
                <w:rFonts w:eastAsia="PMingLiU" w:cs="Arial"/>
                <w:sz w:val="20"/>
                <w:szCs w:val="20"/>
                <w:lang w:eastAsia="zh-TW"/>
              </w:rPr>
              <w:t xml:space="preserve"> and corresponding characteristics and power value(s)</w:t>
            </w:r>
          </w:p>
          <w:p w14:paraId="203E223F">
            <w:pPr>
              <w:widowControl w:val="0"/>
              <w:numPr>
                <w:ilvl w:val="0"/>
                <w:numId w:val="22"/>
              </w:numPr>
              <w:suppressAutoHyphens/>
              <w:autoSpaceDE/>
              <w:autoSpaceDN/>
              <w:adjustRightInd/>
              <w:snapToGrid/>
              <w:spacing w:after="0" w:line="256" w:lineRule="auto"/>
              <w:ind w:left="714" w:hanging="357"/>
              <w:rPr>
                <w:rFonts w:eastAsia="PMingLiU" w:cs="Arial"/>
                <w:sz w:val="20"/>
                <w:szCs w:val="20"/>
                <w:lang w:eastAsia="zh-TW"/>
              </w:rPr>
            </w:pPr>
            <w:r>
              <w:rPr>
                <w:rFonts w:eastAsia="PMingLiU" w:cs="Arial"/>
                <w:sz w:val="20"/>
                <w:szCs w:val="20"/>
                <w:lang w:eastAsia="zh-TW"/>
              </w:rPr>
              <w:t xml:space="preserve">Transition energy and time for </w:t>
            </w:r>
            <w:r>
              <w:rPr>
                <w:rFonts w:hint="eastAsia" w:cs="Arial" w:eastAsiaTheme="minorEastAsia"/>
                <w:sz w:val="20"/>
                <w:szCs w:val="20"/>
                <w:lang w:eastAsia="zh-CN"/>
              </w:rPr>
              <w:t xml:space="preserve">each of </w:t>
            </w:r>
            <w:r>
              <w:rPr>
                <w:rFonts w:eastAsia="PMingLiU" w:cs="Arial"/>
                <w:sz w:val="20"/>
                <w:szCs w:val="20"/>
                <w:lang w:eastAsia="zh-TW"/>
              </w:rPr>
              <w:t xml:space="preserve">sleep state(s) </w:t>
            </w:r>
          </w:p>
          <w:p w14:paraId="33BC74F7">
            <w:pPr>
              <w:widowControl w:val="0"/>
              <w:numPr>
                <w:ilvl w:val="0"/>
                <w:numId w:val="22"/>
              </w:numPr>
              <w:suppressAutoHyphens/>
              <w:autoSpaceDE/>
              <w:autoSpaceDN/>
              <w:adjustRightInd/>
              <w:snapToGrid/>
              <w:spacing w:after="0" w:line="254" w:lineRule="auto"/>
              <w:ind w:left="714" w:hanging="357"/>
              <w:rPr>
                <w:rFonts w:eastAsia="PMingLiU" w:cs="Arial"/>
                <w:szCs w:val="20"/>
                <w:lang w:eastAsia="zh-TW"/>
              </w:rPr>
            </w:pPr>
            <w:r>
              <w:rPr>
                <w:rFonts w:eastAsia="PMingLiU" w:cs="Arial"/>
                <w:sz w:val="20"/>
                <w:szCs w:val="20"/>
                <w:lang w:eastAsia="zh-TW"/>
              </w:rPr>
              <w:t xml:space="preserve">Companies to report the assumption(s) for achieving the proposed power value(s), e.g., </w:t>
            </w:r>
            <w:r>
              <w:rPr>
                <w:rFonts w:hint="eastAsia" w:cs="Arial" w:eastAsiaTheme="minorEastAsia"/>
                <w:sz w:val="20"/>
                <w:szCs w:val="20"/>
                <w:lang w:eastAsia="zh-CN"/>
              </w:rPr>
              <w:t xml:space="preserve">time/frequency domain detection, </w:t>
            </w:r>
            <w:r>
              <w:rPr>
                <w:rFonts w:eastAsia="PMingLiU" w:cs="Arial"/>
                <w:sz w:val="20"/>
                <w:szCs w:val="20"/>
                <w:lang w:eastAsia="zh-TW"/>
              </w:rPr>
              <w:t>noise figure assumption(s), synchronization assumption(s), BW/antenna assumption(s), etc.</w:t>
            </w:r>
          </w:p>
        </w:tc>
      </w:tr>
    </w:tbl>
    <w:p w14:paraId="46DE8637">
      <w:pPr>
        <w:rPr>
          <w:lang w:eastAsia="zh-CN"/>
        </w:rPr>
      </w:pPr>
    </w:p>
    <w:p w14:paraId="3AA126FE">
      <w:pPr>
        <w:pStyle w:val="4"/>
        <w:numPr>
          <w:ilvl w:val="2"/>
          <w:numId w:val="0"/>
        </w:numPr>
        <w:tabs>
          <w:tab w:val="clear" w:pos="432"/>
          <w:tab w:val="clear" w:pos="720"/>
        </w:tabs>
      </w:pPr>
      <w:r>
        <w:rPr>
          <w:lang w:eastAsia="zh-CN"/>
        </w:rPr>
        <w:t>4</w:t>
      </w:r>
      <w:r>
        <w:rPr>
          <w:rFonts w:hint="eastAsia"/>
          <w:lang w:eastAsia="zh-CN"/>
        </w:rPr>
        <w:t>.2.1</w:t>
      </w:r>
      <w:r>
        <w:t xml:space="preserve"> </w:t>
      </w:r>
      <w:r>
        <w:rPr>
          <w:lang w:eastAsia="zh-CN"/>
        </w:rPr>
        <w:t>Power models for different frequency ranges</w:t>
      </w:r>
    </w:p>
    <w:p w14:paraId="33E10284">
      <w:pPr>
        <w:pStyle w:val="5"/>
        <w:rPr>
          <w:sz w:val="22"/>
          <w:szCs w:val="22"/>
          <w:lang w:eastAsia="zh-CN"/>
        </w:rPr>
      </w:pPr>
      <w:r>
        <w:rPr>
          <w:rFonts w:hint="eastAsia"/>
          <w:sz w:val="22"/>
          <w:szCs w:val="22"/>
          <w:lang w:eastAsia="zh-CN"/>
        </w:rPr>
        <w:t>A</w:t>
      </w:r>
      <w:r>
        <w:rPr>
          <w:sz w:val="22"/>
          <w:szCs w:val="22"/>
          <w:lang w:eastAsia="zh-CN"/>
        </w:rPr>
        <w:t xml:space="preserve">ccording to the TR38.840, the power model for FR1 and FR2 is shown in </w:t>
      </w:r>
      <w:r>
        <w:rPr>
          <w:sz w:val="22"/>
          <w:szCs w:val="22"/>
          <w:highlight w:val="none"/>
          <w:lang w:eastAsia="zh-CN"/>
        </w:rPr>
        <w:t xml:space="preserve">Table </w:t>
      </w:r>
      <w:r>
        <w:rPr>
          <w:rFonts w:hint="eastAsia"/>
          <w:sz w:val="22"/>
          <w:szCs w:val="22"/>
          <w:highlight w:val="none"/>
          <w:lang w:val="en-US" w:eastAsia="zh-CN"/>
        </w:rPr>
        <w:t>6</w:t>
      </w:r>
      <w:r>
        <w:rPr>
          <w:sz w:val="22"/>
          <w:szCs w:val="22"/>
          <w:highlight w:val="none"/>
          <w:lang w:eastAsia="zh-CN"/>
        </w:rPr>
        <w:t xml:space="preserve"> </w:t>
      </w:r>
      <w:r>
        <w:rPr>
          <w:sz w:val="22"/>
          <w:szCs w:val="22"/>
          <w:lang w:eastAsia="zh-CN"/>
        </w:rPr>
        <w:t xml:space="preserve">as following. The values in the Table are defined </w:t>
      </w:r>
      <w:r>
        <w:rPr>
          <w:rFonts w:eastAsiaTheme="minorEastAsia"/>
          <w:sz w:val="22"/>
          <w:szCs w:val="22"/>
          <w:lang w:eastAsia="zh-CN"/>
        </w:rPr>
        <w:t>in relation to the state of deep sleep, in which the power consumption of deep sleep is set as 1.</w:t>
      </w:r>
    </w:p>
    <w:p w14:paraId="4E271F1C">
      <w:pPr>
        <w:pStyle w:val="13"/>
        <w:rPr>
          <w:lang w:eastAsia="zh-CN"/>
        </w:rPr>
      </w:pPr>
      <w:r>
        <w:rPr>
          <w:rFonts w:hint="default" w:ascii="Times New Roman Italic" w:hAnsi="Times New Roman Italic" w:cs="Times New Roman Italic"/>
          <w:b w:val="0"/>
          <w:bCs w:val="0"/>
          <w:i/>
          <w:iCs/>
          <w:highlight w:val="none"/>
        </w:rPr>
        <w:t xml:space="preserve">Table </w:t>
      </w:r>
      <w:r>
        <w:rPr>
          <w:rFonts w:hint="default" w:ascii="Times New Roman Italic" w:hAnsi="Times New Roman Italic" w:cs="Times New Roman Italic"/>
          <w:b w:val="0"/>
          <w:bCs w:val="0"/>
          <w:i/>
          <w:iCs/>
          <w:highlight w:val="none"/>
          <w:lang w:val="en-US" w:eastAsia="zh-CN"/>
        </w:rPr>
        <w:t>6</w:t>
      </w:r>
      <w:r>
        <w:rPr>
          <w:rFonts w:hint="default" w:ascii="Times New Roman Italic" w:hAnsi="Times New Roman Italic" w:cs="Times New Roman Italic"/>
          <w:b w:val="0"/>
          <w:bCs w:val="0"/>
          <w:i/>
          <w:iCs/>
        </w:rPr>
        <w:t xml:space="preserve"> UE power consumption model for FR1 and FR2</w:t>
      </w:r>
    </w:p>
    <w:tbl>
      <w:tblPr>
        <w:tblStyle w:val="27"/>
        <w:tblW w:w="9214" w:type="dxa"/>
        <w:jc w:val="center"/>
        <w:tblLayout w:type="autofit"/>
        <w:tblCellMar>
          <w:top w:w="0" w:type="dxa"/>
          <w:left w:w="0" w:type="dxa"/>
          <w:bottom w:w="0" w:type="dxa"/>
          <w:right w:w="0" w:type="dxa"/>
        </w:tblCellMar>
      </w:tblPr>
      <w:tblGrid>
        <w:gridCol w:w="1135"/>
        <w:gridCol w:w="5092"/>
        <w:gridCol w:w="1560"/>
        <w:gridCol w:w="1427"/>
      </w:tblGrid>
      <w:tr w14:paraId="482E4FA1">
        <w:trPr>
          <w:trHeight w:val="206" w:hRule="atLeast"/>
          <w:jc w:val="center"/>
        </w:trPr>
        <w:tc>
          <w:tcPr>
            <w:tcW w:w="1135" w:type="dxa"/>
            <w:vMerge w:val="restart"/>
            <w:tcBorders>
              <w:top w:val="single" w:color="000000" w:sz="8" w:space="0"/>
              <w:left w:val="single" w:color="000000" w:sz="8" w:space="0"/>
              <w:right w:val="single" w:color="000000" w:sz="8" w:space="0"/>
            </w:tcBorders>
            <w:shd w:val="clear" w:color="auto" w:fill="auto"/>
          </w:tcPr>
          <w:p w14:paraId="4E0CDAE4">
            <w:pPr>
              <w:pStyle w:val="77"/>
              <w:rPr>
                <w:rFonts w:ascii="Times New Roman" w:hAnsi="Times New Roman"/>
                <w:sz w:val="20"/>
              </w:rPr>
            </w:pPr>
            <w:r>
              <w:rPr>
                <w:rFonts w:ascii="Times New Roman" w:hAnsi="Times New Roman"/>
                <w:sz w:val="20"/>
              </w:rPr>
              <w:t>Power State</w:t>
            </w:r>
          </w:p>
        </w:tc>
        <w:tc>
          <w:tcPr>
            <w:tcW w:w="5092" w:type="dxa"/>
            <w:vMerge w:val="restart"/>
            <w:tcBorders>
              <w:top w:val="single" w:color="000000" w:sz="8" w:space="0"/>
              <w:left w:val="single" w:color="000000" w:sz="8" w:space="0"/>
              <w:right w:val="single" w:color="000000" w:sz="8" w:space="0"/>
            </w:tcBorders>
            <w:shd w:val="clear" w:color="auto" w:fill="auto"/>
          </w:tcPr>
          <w:p w14:paraId="506EEB8E">
            <w:pPr>
              <w:pStyle w:val="77"/>
              <w:rPr>
                <w:rFonts w:ascii="Times New Roman" w:hAnsi="Times New Roman"/>
                <w:sz w:val="20"/>
              </w:rPr>
            </w:pPr>
            <w:r>
              <w:rPr>
                <w:rFonts w:ascii="Times New Roman" w:hAnsi="Times New Roman"/>
                <w:sz w:val="20"/>
              </w:rPr>
              <w:t>Characteristics</w:t>
            </w:r>
          </w:p>
        </w:tc>
        <w:tc>
          <w:tcPr>
            <w:tcW w:w="2987" w:type="dxa"/>
            <w:gridSpan w:val="2"/>
            <w:tcBorders>
              <w:top w:val="single" w:color="000000" w:sz="8" w:space="0"/>
              <w:left w:val="single" w:color="000000" w:sz="8" w:space="0"/>
              <w:bottom w:val="single" w:color="000000" w:sz="8" w:space="0"/>
              <w:right w:val="single" w:color="000000" w:sz="8" w:space="0"/>
            </w:tcBorders>
            <w:shd w:val="clear" w:color="auto" w:fill="auto"/>
          </w:tcPr>
          <w:p w14:paraId="2E31AF31">
            <w:pPr>
              <w:pStyle w:val="77"/>
              <w:rPr>
                <w:rFonts w:ascii="Times New Roman" w:hAnsi="Times New Roman"/>
                <w:sz w:val="20"/>
              </w:rPr>
            </w:pPr>
            <w:r>
              <w:rPr>
                <w:rFonts w:ascii="Times New Roman" w:hAnsi="Times New Roman"/>
                <w:sz w:val="20"/>
              </w:rPr>
              <w:t>Relative Power</w:t>
            </w:r>
          </w:p>
        </w:tc>
      </w:tr>
      <w:tr w14:paraId="048B14C9">
        <w:trPr>
          <w:trHeight w:val="206" w:hRule="atLeast"/>
          <w:jc w:val="center"/>
        </w:trPr>
        <w:tc>
          <w:tcPr>
            <w:tcW w:w="1135" w:type="dxa"/>
            <w:vMerge w:val="continue"/>
            <w:tcBorders>
              <w:left w:val="single" w:color="000000" w:sz="8" w:space="0"/>
              <w:bottom w:val="single" w:color="000000" w:sz="8" w:space="0"/>
              <w:right w:val="single" w:color="000000" w:sz="8" w:space="0"/>
            </w:tcBorders>
            <w:shd w:val="clear" w:color="auto" w:fill="auto"/>
          </w:tcPr>
          <w:p w14:paraId="2003D90F">
            <w:pPr>
              <w:pStyle w:val="77"/>
              <w:rPr>
                <w:rFonts w:ascii="Times New Roman" w:hAnsi="Times New Roman"/>
                <w:bCs/>
                <w:sz w:val="20"/>
              </w:rPr>
            </w:pPr>
          </w:p>
        </w:tc>
        <w:tc>
          <w:tcPr>
            <w:tcW w:w="5092" w:type="dxa"/>
            <w:vMerge w:val="continue"/>
            <w:tcBorders>
              <w:left w:val="single" w:color="000000" w:sz="8" w:space="0"/>
              <w:bottom w:val="single" w:color="000000" w:sz="8" w:space="0"/>
              <w:right w:val="single" w:color="000000" w:sz="8" w:space="0"/>
            </w:tcBorders>
            <w:shd w:val="clear" w:color="auto" w:fill="auto"/>
          </w:tcPr>
          <w:p w14:paraId="75F12197">
            <w:pPr>
              <w:pStyle w:val="77"/>
              <w:rPr>
                <w:rFonts w:ascii="Times New Roman" w:hAnsi="Times New Roman"/>
                <w:bCs/>
                <w:sz w:val="20"/>
              </w:rPr>
            </w:pPr>
          </w:p>
        </w:tc>
        <w:tc>
          <w:tcPr>
            <w:tcW w:w="1560" w:type="dxa"/>
            <w:tcBorders>
              <w:top w:val="single" w:color="000000" w:sz="8" w:space="0"/>
              <w:left w:val="single" w:color="000000" w:sz="8" w:space="0"/>
              <w:bottom w:val="single" w:color="000000" w:sz="8" w:space="0"/>
              <w:right w:val="single" w:color="000000" w:sz="8" w:space="0"/>
            </w:tcBorders>
            <w:shd w:val="clear" w:color="auto" w:fill="auto"/>
          </w:tcPr>
          <w:p w14:paraId="77D8D9FB">
            <w:pPr>
              <w:pStyle w:val="77"/>
              <w:rPr>
                <w:rFonts w:ascii="Times New Roman" w:hAnsi="Times New Roman"/>
                <w:sz w:val="20"/>
              </w:rPr>
            </w:pPr>
            <w:r>
              <w:rPr>
                <w:rFonts w:ascii="Times New Roman" w:hAnsi="Times New Roman"/>
                <w:sz w:val="20"/>
              </w:rPr>
              <w:t>FR1</w:t>
            </w:r>
          </w:p>
        </w:tc>
        <w:tc>
          <w:tcPr>
            <w:tcW w:w="1427" w:type="dxa"/>
            <w:tcBorders>
              <w:top w:val="single" w:color="000000" w:sz="8" w:space="0"/>
              <w:left w:val="single" w:color="000000" w:sz="8" w:space="0"/>
              <w:bottom w:val="single" w:color="000000" w:sz="8" w:space="0"/>
              <w:right w:val="single" w:color="000000" w:sz="8" w:space="0"/>
            </w:tcBorders>
          </w:tcPr>
          <w:p w14:paraId="7F05FB90">
            <w:pPr>
              <w:pStyle w:val="77"/>
              <w:rPr>
                <w:rFonts w:ascii="Times New Roman" w:hAnsi="Times New Roman"/>
                <w:sz w:val="20"/>
              </w:rPr>
            </w:pPr>
            <w:r>
              <w:rPr>
                <w:rFonts w:ascii="Times New Roman" w:hAnsi="Times New Roman"/>
                <w:sz w:val="20"/>
              </w:rPr>
              <w:t xml:space="preserve">FR2 </w:t>
            </w:r>
          </w:p>
        </w:tc>
      </w:tr>
      <w:tr w14:paraId="2F1C6589">
        <w:trPr>
          <w:trHeight w:val="20" w:hRule="atLeast"/>
          <w:jc w:val="center"/>
        </w:trPr>
        <w:tc>
          <w:tcPr>
            <w:tcW w:w="1135" w:type="dxa"/>
            <w:tcBorders>
              <w:top w:val="single" w:color="000000" w:sz="8" w:space="0"/>
              <w:left w:val="single" w:color="000000" w:sz="8" w:space="0"/>
              <w:bottom w:val="single" w:color="000000" w:sz="8" w:space="0"/>
              <w:right w:val="single" w:color="000000" w:sz="8" w:space="0"/>
            </w:tcBorders>
            <w:shd w:val="clear" w:color="auto" w:fill="auto"/>
          </w:tcPr>
          <w:p w14:paraId="5578852A">
            <w:pPr>
              <w:pStyle w:val="5"/>
              <w:rPr>
                <w:lang w:eastAsia="zh-CN"/>
              </w:rPr>
            </w:pPr>
            <w:r>
              <w:rPr>
                <w:lang w:eastAsia="zh-CN"/>
              </w:rPr>
              <w:t>Deep Sleep</w:t>
            </w:r>
          </w:p>
        </w:tc>
        <w:tc>
          <w:tcPr>
            <w:tcW w:w="5092" w:type="dxa"/>
            <w:tcBorders>
              <w:top w:val="single" w:color="000000" w:sz="8" w:space="0"/>
              <w:left w:val="single" w:color="000000" w:sz="8" w:space="0"/>
              <w:bottom w:val="single" w:color="000000" w:sz="8" w:space="0"/>
              <w:right w:val="single" w:color="000000" w:sz="8" w:space="0"/>
            </w:tcBorders>
            <w:shd w:val="clear" w:color="auto" w:fill="auto"/>
          </w:tcPr>
          <w:p w14:paraId="0B997760">
            <w:pPr>
              <w:pStyle w:val="5"/>
              <w:rPr>
                <w:lang w:eastAsia="zh-CN"/>
              </w:rPr>
            </w:pPr>
            <w:r>
              <w:rPr>
                <w:lang w:eastAsia="zh-CN"/>
              </w:rPr>
              <w:t>Time interval for the sleep should be larger than the total transition time entering and leaving this state. Accurate timing may not be maintained.</w:t>
            </w:r>
          </w:p>
        </w:tc>
        <w:tc>
          <w:tcPr>
            <w:tcW w:w="2987" w:type="dxa"/>
            <w:gridSpan w:val="2"/>
            <w:tcBorders>
              <w:top w:val="single" w:color="000000" w:sz="8" w:space="0"/>
              <w:left w:val="single" w:color="000000" w:sz="8" w:space="0"/>
              <w:bottom w:val="single" w:color="000000" w:sz="8" w:space="0"/>
              <w:right w:val="single" w:color="000000" w:sz="8" w:space="0"/>
            </w:tcBorders>
            <w:shd w:val="clear" w:color="auto" w:fill="auto"/>
          </w:tcPr>
          <w:p w14:paraId="29D6C3A5">
            <w:pPr>
              <w:pStyle w:val="5"/>
              <w:jc w:val="center"/>
              <w:rPr>
                <w:lang w:eastAsia="zh-CN"/>
              </w:rPr>
            </w:pPr>
            <w:r>
              <w:rPr>
                <w:lang w:eastAsia="zh-CN"/>
              </w:rPr>
              <w:t xml:space="preserve">1 </w:t>
            </w:r>
            <w:r>
              <w:rPr>
                <w:lang w:eastAsia="zh-CN"/>
              </w:rPr>
              <w:br w:type="textWrapping"/>
            </w:r>
            <w:r>
              <w:rPr>
                <w:lang w:eastAsia="zh-CN"/>
              </w:rPr>
              <w:t>(Optional: 0.5)</w:t>
            </w:r>
          </w:p>
        </w:tc>
      </w:tr>
      <w:tr w14:paraId="1DA2099A">
        <w:trPr>
          <w:trHeight w:val="20" w:hRule="atLeast"/>
          <w:jc w:val="center"/>
        </w:trPr>
        <w:tc>
          <w:tcPr>
            <w:tcW w:w="1135" w:type="dxa"/>
            <w:tcBorders>
              <w:top w:val="single" w:color="000000" w:sz="8" w:space="0"/>
              <w:left w:val="single" w:color="000000" w:sz="8" w:space="0"/>
              <w:bottom w:val="single" w:color="000000" w:sz="8" w:space="0"/>
              <w:right w:val="single" w:color="000000" w:sz="8" w:space="0"/>
            </w:tcBorders>
            <w:shd w:val="clear" w:color="auto" w:fill="auto"/>
          </w:tcPr>
          <w:p w14:paraId="784C7A47">
            <w:pPr>
              <w:pStyle w:val="5"/>
              <w:rPr>
                <w:lang w:eastAsia="zh-CN"/>
              </w:rPr>
            </w:pPr>
            <w:r>
              <w:rPr>
                <w:lang w:eastAsia="zh-CN"/>
              </w:rPr>
              <w:t>Light Sleep</w:t>
            </w:r>
          </w:p>
        </w:tc>
        <w:tc>
          <w:tcPr>
            <w:tcW w:w="5092" w:type="dxa"/>
            <w:tcBorders>
              <w:top w:val="single" w:color="000000" w:sz="8" w:space="0"/>
              <w:left w:val="single" w:color="000000" w:sz="8" w:space="0"/>
              <w:bottom w:val="single" w:color="000000" w:sz="8" w:space="0"/>
              <w:right w:val="single" w:color="000000" w:sz="8" w:space="0"/>
            </w:tcBorders>
            <w:shd w:val="clear" w:color="auto" w:fill="auto"/>
          </w:tcPr>
          <w:p w14:paraId="28FBDB66">
            <w:pPr>
              <w:pStyle w:val="5"/>
              <w:rPr>
                <w:lang w:eastAsia="zh-CN"/>
              </w:rPr>
            </w:pPr>
            <w:r>
              <w:rPr>
                <w:lang w:eastAsia="zh-CN"/>
              </w:rPr>
              <w:t xml:space="preserve">Time interval for the sleep should be larger than the total transition time entering and leaving this state. </w:t>
            </w:r>
          </w:p>
        </w:tc>
        <w:tc>
          <w:tcPr>
            <w:tcW w:w="2987" w:type="dxa"/>
            <w:gridSpan w:val="2"/>
            <w:tcBorders>
              <w:top w:val="single" w:color="000000" w:sz="8" w:space="0"/>
              <w:left w:val="single" w:color="000000" w:sz="8" w:space="0"/>
              <w:bottom w:val="single" w:color="000000" w:sz="8" w:space="0"/>
              <w:right w:val="single" w:color="000000" w:sz="8" w:space="0"/>
            </w:tcBorders>
            <w:shd w:val="clear" w:color="auto" w:fill="auto"/>
          </w:tcPr>
          <w:p w14:paraId="20E21DE8">
            <w:pPr>
              <w:pStyle w:val="5"/>
              <w:jc w:val="center"/>
              <w:rPr>
                <w:lang w:eastAsia="zh-CN"/>
              </w:rPr>
            </w:pPr>
            <w:r>
              <w:rPr>
                <w:lang w:eastAsia="zh-CN"/>
              </w:rPr>
              <w:t>20</w:t>
            </w:r>
          </w:p>
        </w:tc>
      </w:tr>
      <w:tr w14:paraId="24E9C387">
        <w:trPr>
          <w:trHeight w:val="20" w:hRule="atLeast"/>
          <w:jc w:val="center"/>
        </w:trPr>
        <w:tc>
          <w:tcPr>
            <w:tcW w:w="1135" w:type="dxa"/>
            <w:tcBorders>
              <w:top w:val="single" w:color="000000" w:sz="8" w:space="0"/>
              <w:left w:val="single" w:color="000000" w:sz="8" w:space="0"/>
              <w:bottom w:val="single" w:color="000000" w:sz="8" w:space="0"/>
              <w:right w:val="single" w:color="000000" w:sz="8" w:space="0"/>
            </w:tcBorders>
            <w:shd w:val="clear" w:color="auto" w:fill="auto"/>
          </w:tcPr>
          <w:p w14:paraId="582A6175">
            <w:pPr>
              <w:pStyle w:val="5"/>
              <w:rPr>
                <w:lang w:eastAsia="zh-CN"/>
              </w:rPr>
            </w:pPr>
            <w:r>
              <w:rPr>
                <w:lang w:eastAsia="zh-CN"/>
              </w:rPr>
              <w:t>Micro sleep</w:t>
            </w:r>
          </w:p>
        </w:tc>
        <w:tc>
          <w:tcPr>
            <w:tcW w:w="5092" w:type="dxa"/>
            <w:tcBorders>
              <w:top w:val="single" w:color="000000" w:sz="8" w:space="0"/>
              <w:left w:val="single" w:color="000000" w:sz="8" w:space="0"/>
              <w:bottom w:val="single" w:color="000000" w:sz="8" w:space="0"/>
              <w:right w:val="single" w:color="000000" w:sz="8" w:space="0"/>
            </w:tcBorders>
            <w:shd w:val="clear" w:color="auto" w:fill="auto"/>
          </w:tcPr>
          <w:p w14:paraId="6CE99D9E">
            <w:pPr>
              <w:pStyle w:val="5"/>
              <w:rPr>
                <w:lang w:eastAsia="zh-CN"/>
              </w:rPr>
            </w:pPr>
            <w:r>
              <w:rPr>
                <w:lang w:eastAsia="zh-CN"/>
              </w:rPr>
              <w:t>Immediate transition is assumed for power saving study purpose from or to a non-sleep state</w:t>
            </w:r>
          </w:p>
        </w:tc>
        <w:tc>
          <w:tcPr>
            <w:tcW w:w="2987" w:type="dxa"/>
            <w:gridSpan w:val="2"/>
            <w:tcBorders>
              <w:top w:val="single" w:color="000000" w:sz="8" w:space="0"/>
              <w:left w:val="single" w:color="000000" w:sz="8" w:space="0"/>
              <w:bottom w:val="single" w:color="000000" w:sz="8" w:space="0"/>
              <w:right w:val="single" w:color="000000" w:sz="8" w:space="0"/>
            </w:tcBorders>
            <w:shd w:val="clear" w:color="auto" w:fill="auto"/>
          </w:tcPr>
          <w:p w14:paraId="063B1D90">
            <w:pPr>
              <w:pStyle w:val="5"/>
              <w:jc w:val="center"/>
              <w:rPr>
                <w:lang w:eastAsia="zh-CN"/>
              </w:rPr>
            </w:pPr>
            <w:r>
              <w:rPr>
                <w:lang w:eastAsia="zh-CN"/>
              </w:rPr>
              <w:t>45</w:t>
            </w:r>
          </w:p>
        </w:tc>
      </w:tr>
      <w:tr w14:paraId="453F1504">
        <w:trPr>
          <w:trHeight w:val="20" w:hRule="atLeast"/>
          <w:jc w:val="center"/>
        </w:trPr>
        <w:tc>
          <w:tcPr>
            <w:tcW w:w="1135" w:type="dxa"/>
            <w:tcBorders>
              <w:top w:val="single" w:color="000000" w:sz="8" w:space="0"/>
              <w:left w:val="single" w:color="000000" w:sz="8" w:space="0"/>
              <w:bottom w:val="single" w:color="000000" w:sz="8" w:space="0"/>
              <w:right w:val="single" w:color="000000" w:sz="8" w:space="0"/>
            </w:tcBorders>
            <w:shd w:val="clear" w:color="auto" w:fill="auto"/>
          </w:tcPr>
          <w:p w14:paraId="65EC6BEF">
            <w:pPr>
              <w:pStyle w:val="5"/>
              <w:rPr>
                <w:lang w:eastAsia="zh-CN"/>
              </w:rPr>
            </w:pPr>
            <w:r>
              <w:rPr>
                <w:rFonts w:cs="Arial"/>
                <w:szCs w:val="18"/>
              </w:rPr>
              <w:t>Ultra-deep sleep</w:t>
            </w:r>
          </w:p>
        </w:tc>
        <w:tc>
          <w:tcPr>
            <w:tcW w:w="5092" w:type="dxa"/>
            <w:tcBorders>
              <w:top w:val="single" w:color="000000" w:sz="8" w:space="0"/>
              <w:left w:val="single" w:color="000000" w:sz="8" w:space="0"/>
              <w:bottom w:val="single" w:color="000000" w:sz="8" w:space="0"/>
              <w:right w:val="single" w:color="000000" w:sz="8" w:space="0"/>
            </w:tcBorders>
            <w:shd w:val="clear" w:color="auto" w:fill="auto"/>
          </w:tcPr>
          <w:p w14:paraId="39F5979A">
            <w:pPr>
              <w:pStyle w:val="5"/>
              <w:rPr>
                <w:lang w:eastAsia="zh-CN"/>
              </w:rPr>
            </w:pPr>
          </w:p>
        </w:tc>
        <w:tc>
          <w:tcPr>
            <w:tcW w:w="2987" w:type="dxa"/>
            <w:gridSpan w:val="2"/>
            <w:tcBorders>
              <w:top w:val="single" w:color="000000" w:sz="8" w:space="0"/>
              <w:left w:val="single" w:color="000000" w:sz="8" w:space="0"/>
              <w:bottom w:val="single" w:color="000000" w:sz="8" w:space="0"/>
              <w:right w:val="single" w:color="000000" w:sz="8" w:space="0"/>
            </w:tcBorders>
            <w:shd w:val="clear" w:color="auto" w:fill="auto"/>
          </w:tcPr>
          <w:p w14:paraId="1DC5B861">
            <w:pPr>
              <w:pStyle w:val="5"/>
              <w:jc w:val="center"/>
              <w:rPr>
                <w:lang w:eastAsia="zh-CN"/>
              </w:rPr>
            </w:pPr>
            <w:r>
              <w:rPr>
                <w:rFonts w:cs="Arial"/>
                <w:bCs/>
                <w:szCs w:val="18"/>
              </w:rPr>
              <w:t>0.015</w:t>
            </w:r>
          </w:p>
        </w:tc>
      </w:tr>
      <w:tr w14:paraId="132EC6D9">
        <w:trPr>
          <w:trHeight w:val="20" w:hRule="atLeast"/>
          <w:jc w:val="center"/>
        </w:trPr>
        <w:tc>
          <w:tcPr>
            <w:tcW w:w="1135" w:type="dxa"/>
            <w:tcBorders>
              <w:top w:val="single" w:color="000000" w:sz="8" w:space="0"/>
              <w:left w:val="single" w:color="000000" w:sz="8" w:space="0"/>
              <w:bottom w:val="single" w:color="000000" w:sz="8" w:space="0"/>
              <w:right w:val="single" w:color="000000" w:sz="8" w:space="0"/>
            </w:tcBorders>
            <w:shd w:val="clear" w:color="auto" w:fill="auto"/>
          </w:tcPr>
          <w:p w14:paraId="1BEECF23">
            <w:pPr>
              <w:pStyle w:val="5"/>
              <w:rPr>
                <w:lang w:eastAsia="zh-CN"/>
              </w:rPr>
            </w:pPr>
            <w:r>
              <w:rPr>
                <w:lang w:eastAsia="zh-CN"/>
              </w:rPr>
              <w:t>PDCCH-only</w:t>
            </w:r>
          </w:p>
        </w:tc>
        <w:tc>
          <w:tcPr>
            <w:tcW w:w="5092" w:type="dxa"/>
            <w:tcBorders>
              <w:top w:val="single" w:color="000000" w:sz="8" w:space="0"/>
              <w:left w:val="single" w:color="000000" w:sz="8" w:space="0"/>
              <w:bottom w:val="single" w:color="000000" w:sz="8" w:space="0"/>
              <w:right w:val="single" w:color="000000" w:sz="8" w:space="0"/>
            </w:tcBorders>
            <w:shd w:val="clear" w:color="auto" w:fill="auto"/>
          </w:tcPr>
          <w:p w14:paraId="4F7E1C81">
            <w:pPr>
              <w:pStyle w:val="5"/>
              <w:rPr>
                <w:lang w:eastAsia="zh-CN"/>
              </w:rPr>
            </w:pPr>
            <w:r>
              <w:rPr>
                <w:lang w:eastAsia="zh-CN"/>
              </w:rPr>
              <w:t>No PDSCH and same-slot scheduling; this includes time for PDCCH decoding and any micro-sleep within the slot.</w:t>
            </w:r>
          </w:p>
        </w:tc>
        <w:tc>
          <w:tcPr>
            <w:tcW w:w="1560" w:type="dxa"/>
            <w:tcBorders>
              <w:top w:val="single" w:color="000000" w:sz="8" w:space="0"/>
              <w:left w:val="single" w:color="000000" w:sz="8" w:space="0"/>
              <w:bottom w:val="single" w:color="000000" w:sz="8" w:space="0"/>
              <w:right w:val="single" w:color="000000" w:sz="8" w:space="0"/>
            </w:tcBorders>
            <w:shd w:val="clear" w:color="auto" w:fill="auto"/>
          </w:tcPr>
          <w:p w14:paraId="15C859F7">
            <w:pPr>
              <w:pStyle w:val="5"/>
              <w:jc w:val="center"/>
              <w:rPr>
                <w:lang w:eastAsia="zh-CN"/>
              </w:rPr>
            </w:pPr>
            <w:r>
              <w:rPr>
                <w:lang w:eastAsia="zh-CN"/>
              </w:rPr>
              <w:t>100</w:t>
            </w:r>
          </w:p>
        </w:tc>
        <w:tc>
          <w:tcPr>
            <w:tcW w:w="1427" w:type="dxa"/>
            <w:tcBorders>
              <w:top w:val="single" w:color="000000" w:sz="8" w:space="0"/>
              <w:left w:val="single" w:color="000000" w:sz="8" w:space="0"/>
              <w:bottom w:val="single" w:color="000000" w:sz="8" w:space="0"/>
              <w:right w:val="single" w:color="000000" w:sz="8" w:space="0"/>
            </w:tcBorders>
          </w:tcPr>
          <w:p w14:paraId="43F66FC2">
            <w:pPr>
              <w:pStyle w:val="5"/>
              <w:jc w:val="center"/>
              <w:rPr>
                <w:lang w:eastAsia="zh-CN"/>
              </w:rPr>
            </w:pPr>
            <w:r>
              <w:rPr>
                <w:lang w:eastAsia="zh-CN"/>
              </w:rPr>
              <w:t>175</w:t>
            </w:r>
          </w:p>
        </w:tc>
      </w:tr>
      <w:tr w14:paraId="5419773E">
        <w:trPr>
          <w:trHeight w:val="20" w:hRule="atLeast"/>
          <w:jc w:val="center"/>
        </w:trPr>
        <w:tc>
          <w:tcPr>
            <w:tcW w:w="1135" w:type="dxa"/>
            <w:tcBorders>
              <w:top w:val="single" w:color="000000" w:sz="8" w:space="0"/>
              <w:left w:val="single" w:color="000000" w:sz="8" w:space="0"/>
              <w:bottom w:val="single" w:color="000000" w:sz="8" w:space="0"/>
              <w:right w:val="single" w:color="000000" w:sz="8" w:space="0"/>
            </w:tcBorders>
            <w:shd w:val="clear" w:color="auto" w:fill="auto"/>
          </w:tcPr>
          <w:p w14:paraId="67214CFB">
            <w:pPr>
              <w:pStyle w:val="5"/>
              <w:rPr>
                <w:lang w:eastAsia="zh-CN"/>
              </w:rPr>
            </w:pPr>
            <w:r>
              <w:rPr>
                <w:lang w:eastAsia="zh-CN"/>
              </w:rPr>
              <w:t xml:space="preserve">SSB or </w:t>
            </w:r>
            <w:r>
              <w:rPr>
                <w:lang w:eastAsia="zh-CN"/>
              </w:rPr>
              <w:br w:type="textWrapping"/>
            </w:r>
            <w:r>
              <w:rPr>
                <w:lang w:eastAsia="zh-CN"/>
              </w:rPr>
              <w:t>CSI-RS proc.</w:t>
            </w:r>
          </w:p>
        </w:tc>
        <w:tc>
          <w:tcPr>
            <w:tcW w:w="5092" w:type="dxa"/>
            <w:tcBorders>
              <w:top w:val="single" w:color="000000" w:sz="8" w:space="0"/>
              <w:left w:val="single" w:color="000000" w:sz="8" w:space="0"/>
              <w:bottom w:val="single" w:color="000000" w:sz="8" w:space="0"/>
              <w:right w:val="single" w:color="000000" w:sz="8" w:space="0"/>
            </w:tcBorders>
            <w:shd w:val="clear" w:color="auto" w:fill="auto"/>
          </w:tcPr>
          <w:p w14:paraId="0C0E110E">
            <w:pPr>
              <w:pStyle w:val="5"/>
              <w:rPr>
                <w:lang w:eastAsia="zh-CN"/>
              </w:rPr>
            </w:pPr>
            <w:r>
              <w:rPr>
                <w:lang w:eastAsia="zh-CN"/>
              </w:rPr>
              <w:t>SSB can be used for fine time-frequency sync. and RSRP measurement of the serving/camping cell.. TRS is the considered CSI-RS for sync. FFS the power scaling for processing other configurations of CSI-RS.</w:t>
            </w:r>
          </w:p>
          <w:p w14:paraId="10F0AAF6">
            <w:pPr>
              <w:pStyle w:val="5"/>
              <w:rPr>
                <w:lang w:eastAsia="zh-CN"/>
              </w:rPr>
            </w:pPr>
            <w:r>
              <w:rPr>
                <w:lang w:eastAsia="zh-CN"/>
              </w:rPr>
              <w:t>(Note 2 SSBs in a slot for the ref. config.)</w:t>
            </w:r>
          </w:p>
        </w:tc>
        <w:tc>
          <w:tcPr>
            <w:tcW w:w="1560" w:type="dxa"/>
            <w:tcBorders>
              <w:top w:val="single" w:color="000000" w:sz="8" w:space="0"/>
              <w:left w:val="single" w:color="000000" w:sz="8" w:space="0"/>
              <w:bottom w:val="single" w:color="000000" w:sz="8" w:space="0"/>
              <w:right w:val="single" w:color="000000" w:sz="8" w:space="0"/>
            </w:tcBorders>
            <w:shd w:val="clear" w:color="auto" w:fill="auto"/>
          </w:tcPr>
          <w:p w14:paraId="59E0BC5F">
            <w:pPr>
              <w:pStyle w:val="5"/>
              <w:jc w:val="center"/>
              <w:rPr>
                <w:lang w:eastAsia="zh-CN"/>
              </w:rPr>
            </w:pPr>
            <w:r>
              <w:rPr>
                <w:lang w:eastAsia="zh-CN"/>
              </w:rPr>
              <w:t>100</w:t>
            </w:r>
          </w:p>
        </w:tc>
        <w:tc>
          <w:tcPr>
            <w:tcW w:w="1427" w:type="dxa"/>
            <w:tcBorders>
              <w:top w:val="single" w:color="000000" w:sz="8" w:space="0"/>
              <w:left w:val="single" w:color="000000" w:sz="8" w:space="0"/>
              <w:bottom w:val="single" w:color="000000" w:sz="8" w:space="0"/>
              <w:right w:val="single" w:color="000000" w:sz="8" w:space="0"/>
            </w:tcBorders>
          </w:tcPr>
          <w:p w14:paraId="40F47147">
            <w:pPr>
              <w:pStyle w:val="5"/>
              <w:jc w:val="center"/>
              <w:rPr>
                <w:lang w:eastAsia="zh-CN"/>
              </w:rPr>
            </w:pPr>
            <w:r>
              <w:rPr>
                <w:lang w:eastAsia="zh-CN"/>
              </w:rPr>
              <w:t>175</w:t>
            </w:r>
          </w:p>
        </w:tc>
      </w:tr>
      <w:tr w14:paraId="4993C2B5">
        <w:trPr>
          <w:trHeight w:val="20" w:hRule="atLeast"/>
          <w:jc w:val="center"/>
        </w:trPr>
        <w:tc>
          <w:tcPr>
            <w:tcW w:w="1135" w:type="dxa"/>
            <w:tcBorders>
              <w:top w:val="single" w:color="000000" w:sz="8" w:space="0"/>
              <w:left w:val="single" w:color="000000" w:sz="8" w:space="0"/>
              <w:bottom w:val="single" w:color="000000" w:sz="8" w:space="0"/>
              <w:right w:val="single" w:color="000000" w:sz="8" w:space="0"/>
            </w:tcBorders>
            <w:shd w:val="clear" w:color="auto" w:fill="auto"/>
          </w:tcPr>
          <w:p w14:paraId="74F4CED1">
            <w:pPr>
              <w:pStyle w:val="5"/>
              <w:rPr>
                <w:lang w:eastAsia="zh-CN"/>
              </w:rPr>
            </w:pPr>
            <w:r>
              <w:rPr>
                <w:lang w:eastAsia="zh-CN"/>
              </w:rPr>
              <w:t>PDCCH + PDSCH</w:t>
            </w:r>
          </w:p>
        </w:tc>
        <w:tc>
          <w:tcPr>
            <w:tcW w:w="5092" w:type="dxa"/>
            <w:tcBorders>
              <w:top w:val="single" w:color="000000" w:sz="8" w:space="0"/>
              <w:left w:val="single" w:color="000000" w:sz="8" w:space="0"/>
              <w:bottom w:val="single" w:color="000000" w:sz="8" w:space="0"/>
              <w:right w:val="single" w:color="000000" w:sz="8" w:space="0"/>
            </w:tcBorders>
            <w:shd w:val="clear" w:color="auto" w:fill="auto"/>
          </w:tcPr>
          <w:p w14:paraId="15C15B72">
            <w:pPr>
              <w:pStyle w:val="5"/>
              <w:rPr>
                <w:lang w:eastAsia="zh-CN"/>
              </w:rPr>
            </w:pPr>
            <w:r>
              <w:rPr>
                <w:lang w:eastAsia="zh-CN"/>
              </w:rPr>
              <w:t xml:space="preserve">PDCCH + PDSCH. ACK/NACK in long PUCCH is modelled by UL power state. </w:t>
            </w:r>
          </w:p>
        </w:tc>
        <w:tc>
          <w:tcPr>
            <w:tcW w:w="1560" w:type="dxa"/>
            <w:tcBorders>
              <w:top w:val="single" w:color="000000" w:sz="8" w:space="0"/>
              <w:left w:val="single" w:color="000000" w:sz="8" w:space="0"/>
              <w:bottom w:val="single" w:color="000000" w:sz="8" w:space="0"/>
              <w:right w:val="single" w:color="000000" w:sz="8" w:space="0"/>
            </w:tcBorders>
            <w:shd w:val="clear" w:color="auto" w:fill="auto"/>
          </w:tcPr>
          <w:p w14:paraId="65A82284">
            <w:pPr>
              <w:pStyle w:val="5"/>
              <w:jc w:val="center"/>
              <w:rPr>
                <w:lang w:eastAsia="zh-CN"/>
              </w:rPr>
            </w:pPr>
            <w:r>
              <w:rPr>
                <w:lang w:eastAsia="zh-CN"/>
              </w:rPr>
              <w:t>300</w:t>
            </w:r>
          </w:p>
        </w:tc>
        <w:tc>
          <w:tcPr>
            <w:tcW w:w="1427" w:type="dxa"/>
            <w:tcBorders>
              <w:top w:val="single" w:color="000000" w:sz="8" w:space="0"/>
              <w:left w:val="single" w:color="000000" w:sz="8" w:space="0"/>
              <w:bottom w:val="single" w:color="000000" w:sz="8" w:space="0"/>
              <w:right w:val="single" w:color="000000" w:sz="8" w:space="0"/>
            </w:tcBorders>
          </w:tcPr>
          <w:p w14:paraId="60917F06">
            <w:pPr>
              <w:pStyle w:val="5"/>
              <w:jc w:val="center"/>
              <w:rPr>
                <w:lang w:eastAsia="zh-CN"/>
              </w:rPr>
            </w:pPr>
            <w:r>
              <w:rPr>
                <w:lang w:eastAsia="zh-CN"/>
              </w:rPr>
              <w:t>350</w:t>
            </w:r>
          </w:p>
        </w:tc>
      </w:tr>
      <w:tr w14:paraId="5A229FB0">
        <w:trPr>
          <w:trHeight w:val="20" w:hRule="atLeast"/>
          <w:jc w:val="center"/>
        </w:trPr>
        <w:tc>
          <w:tcPr>
            <w:tcW w:w="1135" w:type="dxa"/>
            <w:tcBorders>
              <w:top w:val="single" w:color="000000" w:sz="8" w:space="0"/>
              <w:left w:val="single" w:color="000000" w:sz="8" w:space="0"/>
              <w:bottom w:val="single" w:color="000000" w:sz="8" w:space="0"/>
              <w:right w:val="single" w:color="000000" w:sz="8" w:space="0"/>
            </w:tcBorders>
            <w:shd w:val="clear" w:color="auto" w:fill="auto"/>
          </w:tcPr>
          <w:p w14:paraId="378CEA97">
            <w:pPr>
              <w:pStyle w:val="5"/>
              <w:rPr>
                <w:lang w:eastAsia="zh-CN"/>
              </w:rPr>
            </w:pPr>
            <w:r>
              <w:rPr>
                <w:lang w:eastAsia="zh-CN"/>
              </w:rPr>
              <w:t>PDSCH-only slot</w:t>
            </w:r>
          </w:p>
        </w:tc>
        <w:tc>
          <w:tcPr>
            <w:tcW w:w="5092" w:type="dxa"/>
            <w:tcBorders>
              <w:top w:val="single" w:color="000000" w:sz="8" w:space="0"/>
              <w:left w:val="single" w:color="000000" w:sz="8" w:space="0"/>
              <w:bottom w:val="single" w:color="000000" w:sz="8" w:space="0"/>
              <w:right w:val="single" w:color="000000" w:sz="8" w:space="0"/>
            </w:tcBorders>
            <w:shd w:val="clear" w:color="auto" w:fill="auto"/>
          </w:tcPr>
          <w:p w14:paraId="7426954E">
            <w:pPr>
              <w:pStyle w:val="5"/>
              <w:rPr>
                <w:lang w:eastAsia="zh-CN"/>
              </w:rPr>
            </w:pPr>
            <w:r>
              <w:rPr>
                <w:lang w:eastAsia="zh-CN"/>
              </w:rPr>
              <w:t>This assumes the same number of PDSCH symbols as in the PDCCH+PDSCH case.</w:t>
            </w:r>
          </w:p>
        </w:tc>
        <w:tc>
          <w:tcPr>
            <w:tcW w:w="1560" w:type="dxa"/>
            <w:tcBorders>
              <w:top w:val="single" w:color="000000" w:sz="8" w:space="0"/>
              <w:left w:val="single" w:color="000000" w:sz="8" w:space="0"/>
              <w:bottom w:val="single" w:color="000000" w:sz="8" w:space="0"/>
              <w:right w:val="single" w:color="000000" w:sz="8" w:space="0"/>
            </w:tcBorders>
            <w:shd w:val="clear" w:color="auto" w:fill="auto"/>
          </w:tcPr>
          <w:p w14:paraId="228F24BC">
            <w:pPr>
              <w:pStyle w:val="5"/>
              <w:jc w:val="center"/>
              <w:rPr>
                <w:lang w:eastAsia="zh-CN"/>
              </w:rPr>
            </w:pPr>
            <w:r>
              <w:rPr>
                <w:lang w:eastAsia="zh-CN"/>
              </w:rPr>
              <w:t>280</w:t>
            </w:r>
          </w:p>
        </w:tc>
        <w:tc>
          <w:tcPr>
            <w:tcW w:w="1427" w:type="dxa"/>
            <w:tcBorders>
              <w:top w:val="single" w:color="000000" w:sz="8" w:space="0"/>
              <w:left w:val="single" w:color="000000" w:sz="8" w:space="0"/>
              <w:bottom w:val="single" w:color="000000" w:sz="8" w:space="0"/>
              <w:right w:val="single" w:color="000000" w:sz="8" w:space="0"/>
            </w:tcBorders>
          </w:tcPr>
          <w:p w14:paraId="0D83FF12">
            <w:pPr>
              <w:pStyle w:val="5"/>
              <w:jc w:val="center"/>
              <w:rPr>
                <w:lang w:eastAsia="zh-CN"/>
              </w:rPr>
            </w:pPr>
            <w:r>
              <w:rPr>
                <w:lang w:eastAsia="zh-CN"/>
              </w:rPr>
              <w:t>325</w:t>
            </w:r>
          </w:p>
        </w:tc>
      </w:tr>
      <w:tr w14:paraId="10AA062F">
        <w:trPr>
          <w:trHeight w:val="20" w:hRule="atLeast"/>
          <w:jc w:val="center"/>
        </w:trPr>
        <w:tc>
          <w:tcPr>
            <w:tcW w:w="1135" w:type="dxa"/>
            <w:tcBorders>
              <w:top w:val="single" w:color="000000" w:sz="8" w:space="0"/>
              <w:left w:val="single" w:color="000000" w:sz="8" w:space="0"/>
              <w:bottom w:val="single" w:color="000000" w:sz="8" w:space="0"/>
              <w:right w:val="single" w:color="000000" w:sz="8" w:space="0"/>
            </w:tcBorders>
            <w:shd w:val="clear" w:color="auto" w:fill="auto"/>
          </w:tcPr>
          <w:p w14:paraId="429C4E2A">
            <w:pPr>
              <w:pStyle w:val="5"/>
              <w:rPr>
                <w:lang w:eastAsia="zh-CN"/>
              </w:rPr>
            </w:pPr>
            <w:r>
              <w:rPr>
                <w:lang w:eastAsia="zh-CN"/>
              </w:rPr>
              <w:t>UL</w:t>
            </w:r>
          </w:p>
        </w:tc>
        <w:tc>
          <w:tcPr>
            <w:tcW w:w="5092" w:type="dxa"/>
            <w:tcBorders>
              <w:top w:val="single" w:color="000000" w:sz="8" w:space="0"/>
              <w:left w:val="single" w:color="000000" w:sz="8" w:space="0"/>
              <w:bottom w:val="single" w:color="000000" w:sz="8" w:space="0"/>
              <w:right w:val="single" w:color="000000" w:sz="8" w:space="0"/>
            </w:tcBorders>
            <w:shd w:val="clear" w:color="auto" w:fill="auto"/>
          </w:tcPr>
          <w:p w14:paraId="1C383C31">
            <w:pPr>
              <w:pStyle w:val="5"/>
              <w:rPr>
                <w:lang w:eastAsia="zh-CN"/>
              </w:rPr>
            </w:pPr>
            <w:r>
              <w:rPr>
                <w:lang w:eastAsia="zh-CN"/>
              </w:rPr>
              <w:t xml:space="preserve">Long PUCCH or PUSCH. </w:t>
            </w:r>
          </w:p>
        </w:tc>
        <w:tc>
          <w:tcPr>
            <w:tcW w:w="1560" w:type="dxa"/>
            <w:tcBorders>
              <w:top w:val="single" w:color="000000" w:sz="8" w:space="0"/>
              <w:left w:val="single" w:color="000000" w:sz="8" w:space="0"/>
              <w:bottom w:val="single" w:color="000000" w:sz="8" w:space="0"/>
              <w:right w:val="single" w:color="000000" w:sz="8" w:space="0"/>
            </w:tcBorders>
            <w:shd w:val="clear" w:color="auto" w:fill="auto"/>
          </w:tcPr>
          <w:p w14:paraId="62503804">
            <w:pPr>
              <w:pStyle w:val="5"/>
              <w:jc w:val="center"/>
              <w:rPr>
                <w:lang w:eastAsia="zh-CN"/>
              </w:rPr>
            </w:pPr>
            <w:r>
              <w:rPr>
                <w:lang w:eastAsia="zh-CN"/>
              </w:rPr>
              <w:t>250 (0 dBm)</w:t>
            </w:r>
          </w:p>
          <w:p w14:paraId="143D9B3B">
            <w:pPr>
              <w:pStyle w:val="5"/>
              <w:jc w:val="center"/>
              <w:rPr>
                <w:lang w:eastAsia="zh-CN"/>
              </w:rPr>
            </w:pPr>
            <w:r>
              <w:rPr>
                <w:lang w:eastAsia="zh-CN"/>
              </w:rPr>
              <w:t>700 (23 dBm)</w:t>
            </w:r>
          </w:p>
        </w:tc>
        <w:tc>
          <w:tcPr>
            <w:tcW w:w="1427" w:type="dxa"/>
            <w:tcBorders>
              <w:top w:val="single" w:color="000000" w:sz="8" w:space="0"/>
              <w:left w:val="single" w:color="000000" w:sz="8" w:space="0"/>
              <w:bottom w:val="single" w:color="000000" w:sz="8" w:space="0"/>
              <w:right w:val="single" w:color="000000" w:sz="8" w:space="0"/>
            </w:tcBorders>
          </w:tcPr>
          <w:p w14:paraId="6A572DD6">
            <w:pPr>
              <w:pStyle w:val="5"/>
              <w:jc w:val="center"/>
              <w:rPr>
                <w:lang w:eastAsia="zh-CN"/>
              </w:rPr>
            </w:pPr>
            <w:r>
              <w:rPr>
                <w:lang w:eastAsia="zh-CN"/>
              </w:rPr>
              <w:t>350</w:t>
            </w:r>
          </w:p>
          <w:p w14:paraId="0CFF5CED">
            <w:pPr>
              <w:pStyle w:val="5"/>
              <w:jc w:val="center"/>
              <w:rPr>
                <w:lang w:eastAsia="zh-CN"/>
              </w:rPr>
            </w:pPr>
            <w:r>
              <w:rPr>
                <w:lang w:eastAsia="zh-CN"/>
              </w:rPr>
              <w:t>(FFS Tx power level)</w:t>
            </w:r>
          </w:p>
          <w:p w14:paraId="0C7C1E55">
            <w:pPr>
              <w:pStyle w:val="5"/>
              <w:jc w:val="center"/>
              <w:rPr>
                <w:lang w:eastAsia="zh-CN"/>
              </w:rPr>
            </w:pPr>
          </w:p>
        </w:tc>
      </w:tr>
    </w:tbl>
    <w:p w14:paraId="50C790FD">
      <w:pPr>
        <w:pStyle w:val="5"/>
        <w:rPr>
          <w:sz w:val="22"/>
          <w:szCs w:val="22"/>
        </w:rPr>
      </w:pPr>
      <w:r>
        <w:rPr>
          <w:sz w:val="22"/>
          <w:szCs w:val="22"/>
          <w:lang w:eastAsia="zh-CN"/>
        </w:rPr>
        <w:t>The power models in the Table can be used as the starting point for 6GR. For the frequency range around 7</w:t>
      </w:r>
      <w:r>
        <w:rPr>
          <w:rFonts w:hint="eastAsia" w:eastAsiaTheme="minorEastAsia"/>
          <w:sz w:val="22"/>
          <w:szCs w:val="22"/>
          <w:lang w:eastAsia="zh-CN"/>
        </w:rPr>
        <w:t>GHz</w:t>
      </w:r>
      <w:r>
        <w:rPr>
          <w:rFonts w:eastAsiaTheme="minorEastAsia"/>
          <w:sz w:val="22"/>
          <w:szCs w:val="22"/>
          <w:lang w:eastAsia="zh-CN"/>
        </w:rPr>
        <w:t xml:space="preserve">, </w:t>
      </w:r>
      <w:bookmarkStart w:id="15" w:name="_Hlk213332927"/>
      <w:r>
        <w:rPr>
          <w:rFonts w:eastAsiaTheme="minorEastAsia"/>
          <w:sz w:val="22"/>
          <w:szCs w:val="22"/>
          <w:lang w:eastAsia="zh-CN"/>
        </w:rPr>
        <w:t>according to the agreement as mentioned above, the same reference configuration of FR1 was applied, thus t</w:t>
      </w:r>
      <w:r>
        <w:rPr>
          <w:sz w:val="22"/>
          <w:szCs w:val="22"/>
        </w:rPr>
        <w:t xml:space="preserve">he FR1 UE power model can be considered to use for </w:t>
      </w:r>
      <w:r>
        <w:rPr>
          <w:sz w:val="22"/>
          <w:szCs w:val="22"/>
          <w:lang w:eastAsia="zh-CN"/>
        </w:rPr>
        <w:t>the frequency range around 7</w:t>
      </w:r>
      <w:r>
        <w:rPr>
          <w:rFonts w:hint="eastAsia" w:eastAsiaTheme="minorEastAsia"/>
          <w:sz w:val="22"/>
          <w:szCs w:val="22"/>
          <w:lang w:eastAsia="zh-CN"/>
        </w:rPr>
        <w:t>GHz</w:t>
      </w:r>
      <w:r>
        <w:rPr>
          <w:sz w:val="22"/>
          <w:szCs w:val="22"/>
        </w:rPr>
        <w:t>.</w:t>
      </w:r>
    </w:p>
    <w:bookmarkEnd w:id="15"/>
    <w:p w14:paraId="3BB52525">
      <w:pPr>
        <w:pStyle w:val="5"/>
        <w:rPr>
          <w:sz w:val="22"/>
          <w:szCs w:val="22"/>
        </w:rPr>
      </w:pPr>
      <w:r>
        <w:rPr>
          <w:rFonts w:hint="eastAsia"/>
          <w:sz w:val="22"/>
          <w:szCs w:val="22"/>
          <w:lang w:eastAsia="zh-CN"/>
        </w:rPr>
        <w:t>F</w:t>
      </w:r>
      <w:r>
        <w:rPr>
          <w:sz w:val="22"/>
          <w:szCs w:val="22"/>
          <w:lang w:eastAsia="zh-CN"/>
        </w:rPr>
        <w:t xml:space="preserve">or the UL transmission, the relative power would be different depending on different transmission power. The relative power for values other than 0 dBm and 23 dBm can be further defined. Linear interpolation between 0 dBm and 23 dBm or can be considered. Another method is using a </w:t>
      </w:r>
      <w:r>
        <w:rPr>
          <w:sz w:val="22"/>
          <w:szCs w:val="22"/>
        </w:rPr>
        <w:t xml:space="preserve">corresponding </w:t>
      </w:r>
      <w:r>
        <w:rPr>
          <w:sz w:val="22"/>
          <w:szCs w:val="22"/>
          <w:lang w:eastAsia="zh-CN"/>
        </w:rPr>
        <w:t xml:space="preserve">relative power when the transmission power falls in a range, in which the transmission power range is based on </w:t>
      </w:r>
      <w:r>
        <w:rPr>
          <w:sz w:val="22"/>
          <w:szCs w:val="22"/>
        </w:rPr>
        <w:t>threshold.</w:t>
      </w:r>
    </w:p>
    <w:p w14:paraId="155F5FD9">
      <w:pPr>
        <w:pStyle w:val="5"/>
        <w:rPr>
          <w:rFonts w:hint="default" w:ascii="Times New Roman Bold Italic" w:hAnsi="Times New Roman Bold Italic" w:cs="Times New Roman Bold Italic"/>
          <w:b/>
          <w:bCs/>
          <w:i/>
          <w:iCs/>
          <w:sz w:val="22"/>
          <w:szCs w:val="22"/>
          <w:lang w:eastAsia="zh-CN"/>
        </w:rPr>
      </w:pPr>
      <w:r>
        <w:rPr>
          <w:rFonts w:hint="default" w:ascii="Times New Roman Bold Italic" w:hAnsi="Times New Roman Bold Italic" w:cs="Times New Roman Bold Italic"/>
          <w:b/>
          <w:bCs/>
          <w:i/>
          <w:iCs/>
          <w:sz w:val="22"/>
          <w:szCs w:val="22"/>
          <w:lang w:eastAsia="zh-CN"/>
        </w:rPr>
        <w:t xml:space="preserve">Proposal </w:t>
      </w:r>
      <w:r>
        <w:rPr>
          <w:rFonts w:hint="default" w:ascii="Times New Roman Bold Italic" w:hAnsi="Times New Roman Bold Italic" w:cs="Times New Roman Bold Italic"/>
          <w:b/>
          <w:bCs/>
          <w:i/>
          <w:iCs/>
          <w:sz w:val="22"/>
          <w:szCs w:val="22"/>
          <w:lang w:val="en-US" w:eastAsia="zh-CN"/>
        </w:rPr>
        <w:t>14</w:t>
      </w:r>
      <w:r>
        <w:rPr>
          <w:rFonts w:hint="default" w:ascii="Times New Roman Bold Italic" w:hAnsi="Times New Roman Bold Italic" w:cs="Times New Roman Bold Italic"/>
          <w:b/>
          <w:bCs/>
          <w:i/>
          <w:iCs/>
          <w:sz w:val="22"/>
          <w:szCs w:val="22"/>
          <w:lang w:eastAsia="zh-CN"/>
        </w:rPr>
        <w:t>: Considering the following power models for FR1/2/3, assuming the same reference configurations is used for FR1 and FR3.</w:t>
      </w:r>
    </w:p>
    <w:p w14:paraId="61F89ABD">
      <w:pPr>
        <w:pStyle w:val="13"/>
        <w:rPr>
          <w:rFonts w:hint="default" w:ascii="Times New Roman Italic" w:hAnsi="Times New Roman Italic" w:cs="Times New Roman Italic"/>
          <w:b w:val="0"/>
          <w:bCs w:val="0"/>
          <w:i/>
          <w:iCs/>
          <w:highlight w:val="none"/>
          <w:lang w:eastAsia="zh-CN"/>
        </w:rPr>
      </w:pPr>
      <w:r>
        <w:rPr>
          <w:rFonts w:hint="default" w:ascii="Times New Roman Italic" w:hAnsi="Times New Roman Italic" w:cs="Times New Roman Italic"/>
          <w:b w:val="0"/>
          <w:bCs w:val="0"/>
          <w:i/>
          <w:iCs/>
          <w:highlight w:val="none"/>
        </w:rPr>
        <w:t xml:space="preserve">Table </w:t>
      </w:r>
      <w:r>
        <w:rPr>
          <w:rFonts w:hint="default" w:ascii="Times New Roman Italic" w:hAnsi="Times New Roman Italic" w:cs="Times New Roman Italic"/>
          <w:b w:val="0"/>
          <w:bCs w:val="0"/>
          <w:i/>
          <w:iCs/>
          <w:highlight w:val="none"/>
          <w:lang w:val="en-US" w:eastAsia="zh-CN"/>
        </w:rPr>
        <w:t>7</w:t>
      </w:r>
      <w:r>
        <w:rPr>
          <w:rFonts w:hint="default" w:ascii="Times New Roman Italic" w:hAnsi="Times New Roman Italic" w:cs="Times New Roman Italic"/>
          <w:b w:val="0"/>
          <w:bCs w:val="0"/>
          <w:i/>
          <w:iCs/>
          <w:highlight w:val="none"/>
        </w:rPr>
        <w:t xml:space="preserve"> UE power consumption model for FR1/FR2/FR3</w:t>
      </w:r>
    </w:p>
    <w:tbl>
      <w:tblPr>
        <w:tblStyle w:val="27"/>
        <w:tblW w:w="9297" w:type="dxa"/>
        <w:jc w:val="center"/>
        <w:tblLayout w:type="autofit"/>
        <w:tblCellMar>
          <w:top w:w="0" w:type="dxa"/>
          <w:left w:w="0" w:type="dxa"/>
          <w:bottom w:w="0" w:type="dxa"/>
          <w:right w:w="0" w:type="dxa"/>
        </w:tblCellMar>
      </w:tblPr>
      <w:tblGrid>
        <w:gridCol w:w="1110"/>
        <w:gridCol w:w="3752"/>
        <w:gridCol w:w="1491"/>
        <w:gridCol w:w="1548"/>
        <w:gridCol w:w="1396"/>
      </w:tblGrid>
      <w:tr w14:paraId="4CA56D05">
        <w:trPr>
          <w:trHeight w:val="206" w:hRule="atLeast"/>
          <w:jc w:val="center"/>
        </w:trPr>
        <w:tc>
          <w:tcPr>
            <w:tcW w:w="1072" w:type="dxa"/>
            <w:vMerge w:val="restart"/>
            <w:tcBorders>
              <w:top w:val="single" w:color="000000" w:sz="8" w:space="0"/>
              <w:left w:val="single" w:color="000000" w:sz="8" w:space="0"/>
              <w:right w:val="single" w:color="000000" w:sz="8" w:space="0"/>
            </w:tcBorders>
            <w:shd w:val="clear" w:color="auto" w:fill="auto"/>
          </w:tcPr>
          <w:p w14:paraId="572E881D">
            <w:pPr>
              <w:pStyle w:val="77"/>
              <w:rPr>
                <w:rFonts w:ascii="Times New Roman" w:hAnsi="Times New Roman"/>
                <w:sz w:val="20"/>
              </w:rPr>
            </w:pPr>
            <w:bookmarkStart w:id="16" w:name="_Hlk213332899"/>
            <w:r>
              <w:rPr>
                <w:rFonts w:ascii="Times New Roman" w:hAnsi="Times New Roman"/>
                <w:sz w:val="20"/>
              </w:rPr>
              <w:t>Power State</w:t>
            </w:r>
          </w:p>
        </w:tc>
        <w:tc>
          <w:tcPr>
            <w:tcW w:w="3770" w:type="dxa"/>
            <w:vMerge w:val="restart"/>
            <w:tcBorders>
              <w:top w:val="single" w:color="000000" w:sz="8" w:space="0"/>
              <w:left w:val="single" w:color="000000" w:sz="8" w:space="0"/>
              <w:right w:val="single" w:color="000000" w:sz="8" w:space="0"/>
            </w:tcBorders>
            <w:shd w:val="clear" w:color="auto" w:fill="auto"/>
          </w:tcPr>
          <w:p w14:paraId="2AA0A64C">
            <w:pPr>
              <w:pStyle w:val="77"/>
              <w:rPr>
                <w:rFonts w:ascii="Times New Roman" w:hAnsi="Times New Roman"/>
                <w:sz w:val="20"/>
              </w:rPr>
            </w:pPr>
            <w:r>
              <w:rPr>
                <w:rFonts w:ascii="Times New Roman" w:hAnsi="Times New Roman"/>
                <w:sz w:val="20"/>
              </w:rPr>
              <w:t>Characteristics</w:t>
            </w:r>
          </w:p>
        </w:tc>
        <w:tc>
          <w:tcPr>
            <w:tcW w:w="4455" w:type="dxa"/>
            <w:gridSpan w:val="3"/>
            <w:tcBorders>
              <w:top w:val="single" w:color="000000" w:sz="8" w:space="0"/>
              <w:left w:val="single" w:color="000000" w:sz="8" w:space="0"/>
              <w:bottom w:val="single" w:color="000000" w:sz="8" w:space="0"/>
              <w:right w:val="single" w:color="000000" w:sz="8" w:space="0"/>
            </w:tcBorders>
            <w:shd w:val="clear" w:color="auto" w:fill="auto"/>
          </w:tcPr>
          <w:p w14:paraId="52627339">
            <w:pPr>
              <w:pStyle w:val="77"/>
              <w:rPr>
                <w:rFonts w:ascii="Times New Roman" w:hAnsi="Times New Roman"/>
                <w:sz w:val="20"/>
              </w:rPr>
            </w:pPr>
            <w:r>
              <w:rPr>
                <w:rFonts w:ascii="Times New Roman" w:hAnsi="Times New Roman"/>
                <w:sz w:val="20"/>
              </w:rPr>
              <w:t>Relative Power</w:t>
            </w:r>
          </w:p>
        </w:tc>
      </w:tr>
      <w:tr w14:paraId="62B2506C">
        <w:trPr>
          <w:trHeight w:val="206" w:hRule="atLeast"/>
          <w:jc w:val="center"/>
        </w:trPr>
        <w:tc>
          <w:tcPr>
            <w:tcW w:w="1072" w:type="dxa"/>
            <w:vMerge w:val="continue"/>
            <w:tcBorders>
              <w:left w:val="single" w:color="000000" w:sz="8" w:space="0"/>
              <w:bottom w:val="single" w:color="000000" w:sz="8" w:space="0"/>
              <w:right w:val="single" w:color="000000" w:sz="8" w:space="0"/>
            </w:tcBorders>
            <w:shd w:val="clear" w:color="auto" w:fill="auto"/>
          </w:tcPr>
          <w:p w14:paraId="3BDD0E9C">
            <w:pPr>
              <w:pStyle w:val="77"/>
              <w:rPr>
                <w:rFonts w:ascii="Times New Roman" w:hAnsi="Times New Roman"/>
                <w:bCs/>
                <w:sz w:val="20"/>
              </w:rPr>
            </w:pPr>
          </w:p>
        </w:tc>
        <w:tc>
          <w:tcPr>
            <w:tcW w:w="3770" w:type="dxa"/>
            <w:vMerge w:val="continue"/>
            <w:tcBorders>
              <w:left w:val="single" w:color="000000" w:sz="8" w:space="0"/>
              <w:bottom w:val="single" w:color="000000" w:sz="8" w:space="0"/>
              <w:right w:val="single" w:color="000000" w:sz="8" w:space="0"/>
            </w:tcBorders>
            <w:shd w:val="clear" w:color="auto" w:fill="auto"/>
          </w:tcPr>
          <w:p w14:paraId="4AED8F7F">
            <w:pPr>
              <w:pStyle w:val="77"/>
              <w:rPr>
                <w:rFonts w:ascii="Times New Roman" w:hAnsi="Times New Roman"/>
                <w:bCs/>
                <w:sz w:val="20"/>
              </w:rPr>
            </w:pPr>
          </w:p>
        </w:tc>
        <w:tc>
          <w:tcPr>
            <w:tcW w:w="1498" w:type="dxa"/>
            <w:tcBorders>
              <w:top w:val="single" w:color="000000" w:sz="8" w:space="0"/>
              <w:left w:val="single" w:color="000000" w:sz="8" w:space="0"/>
              <w:bottom w:val="single" w:color="000000" w:sz="8" w:space="0"/>
              <w:right w:val="single" w:color="000000" w:sz="8" w:space="0"/>
            </w:tcBorders>
            <w:shd w:val="clear" w:color="auto" w:fill="auto"/>
          </w:tcPr>
          <w:p w14:paraId="740EE2AB">
            <w:pPr>
              <w:pStyle w:val="77"/>
              <w:rPr>
                <w:rFonts w:ascii="Times New Roman" w:hAnsi="Times New Roman"/>
                <w:sz w:val="20"/>
              </w:rPr>
            </w:pPr>
            <w:r>
              <w:rPr>
                <w:rFonts w:ascii="Times New Roman" w:hAnsi="Times New Roman"/>
                <w:sz w:val="20"/>
              </w:rPr>
              <w:t>FR1</w:t>
            </w:r>
          </w:p>
        </w:tc>
        <w:tc>
          <w:tcPr>
            <w:tcW w:w="1555" w:type="dxa"/>
            <w:tcBorders>
              <w:top w:val="single" w:color="000000" w:sz="8" w:space="0"/>
              <w:left w:val="single" w:color="000000" w:sz="8" w:space="0"/>
              <w:bottom w:val="single" w:color="000000" w:sz="8" w:space="0"/>
              <w:right w:val="single" w:color="000000" w:sz="8" w:space="0"/>
            </w:tcBorders>
          </w:tcPr>
          <w:p w14:paraId="053FEEE3">
            <w:pPr>
              <w:pStyle w:val="77"/>
              <w:rPr>
                <w:rFonts w:ascii="Times New Roman" w:hAnsi="Times New Roman"/>
                <w:sz w:val="20"/>
              </w:rPr>
            </w:pPr>
            <w:r>
              <w:rPr>
                <w:rFonts w:ascii="Times New Roman" w:hAnsi="Times New Roman"/>
                <w:sz w:val="20"/>
              </w:rPr>
              <w:t xml:space="preserve">FR2 </w:t>
            </w:r>
          </w:p>
        </w:tc>
        <w:tc>
          <w:tcPr>
            <w:tcW w:w="1402" w:type="dxa"/>
            <w:tcBorders>
              <w:top w:val="single" w:color="000000" w:sz="8" w:space="0"/>
              <w:left w:val="single" w:color="000000" w:sz="8" w:space="0"/>
              <w:bottom w:val="single" w:color="000000" w:sz="8" w:space="0"/>
              <w:right w:val="single" w:color="000000" w:sz="8" w:space="0"/>
            </w:tcBorders>
          </w:tcPr>
          <w:p w14:paraId="3AFC3173">
            <w:pPr>
              <w:pStyle w:val="77"/>
              <w:rPr>
                <w:rFonts w:ascii="Times New Roman" w:hAnsi="Times New Roman"/>
                <w:sz w:val="20"/>
                <w:lang w:eastAsia="zh-CN"/>
              </w:rPr>
            </w:pPr>
            <w:r>
              <w:rPr>
                <w:rFonts w:ascii="Times New Roman" w:hAnsi="Times New Roman"/>
                <w:sz w:val="20"/>
                <w:lang w:eastAsia="zh-CN"/>
              </w:rPr>
              <w:t>FR3</w:t>
            </w:r>
          </w:p>
        </w:tc>
      </w:tr>
      <w:tr w14:paraId="4EBF1687">
        <w:trPr>
          <w:trHeight w:val="20" w:hRule="atLeast"/>
          <w:jc w:val="center"/>
        </w:trPr>
        <w:tc>
          <w:tcPr>
            <w:tcW w:w="1072" w:type="dxa"/>
            <w:tcBorders>
              <w:top w:val="single" w:color="000000" w:sz="8" w:space="0"/>
              <w:left w:val="single" w:color="000000" w:sz="8" w:space="0"/>
              <w:bottom w:val="single" w:color="000000" w:sz="8" w:space="0"/>
              <w:right w:val="single" w:color="000000" w:sz="8" w:space="0"/>
            </w:tcBorders>
            <w:shd w:val="clear" w:color="auto" w:fill="auto"/>
          </w:tcPr>
          <w:p w14:paraId="7CB97E06">
            <w:pPr>
              <w:pStyle w:val="5"/>
              <w:rPr>
                <w:lang w:eastAsia="zh-CN"/>
              </w:rPr>
            </w:pPr>
            <w:r>
              <w:rPr>
                <w:lang w:eastAsia="zh-CN"/>
              </w:rPr>
              <w:t>PDCCH-only</w:t>
            </w:r>
          </w:p>
        </w:tc>
        <w:tc>
          <w:tcPr>
            <w:tcW w:w="3770" w:type="dxa"/>
            <w:tcBorders>
              <w:top w:val="single" w:color="000000" w:sz="8" w:space="0"/>
              <w:left w:val="single" w:color="000000" w:sz="8" w:space="0"/>
              <w:bottom w:val="single" w:color="000000" w:sz="8" w:space="0"/>
              <w:right w:val="single" w:color="000000" w:sz="8" w:space="0"/>
            </w:tcBorders>
            <w:shd w:val="clear" w:color="auto" w:fill="auto"/>
          </w:tcPr>
          <w:p w14:paraId="5A6465E4">
            <w:pPr>
              <w:pStyle w:val="5"/>
              <w:rPr>
                <w:lang w:eastAsia="zh-CN"/>
              </w:rPr>
            </w:pPr>
            <w:r>
              <w:rPr>
                <w:lang w:eastAsia="zh-CN"/>
              </w:rPr>
              <w:t>No PDSCH and same-slot scheduling; this includes time for PDCCH decoding and any micro-sleep within the slot.</w:t>
            </w:r>
          </w:p>
        </w:tc>
        <w:tc>
          <w:tcPr>
            <w:tcW w:w="1498" w:type="dxa"/>
            <w:tcBorders>
              <w:top w:val="single" w:color="000000" w:sz="8" w:space="0"/>
              <w:left w:val="single" w:color="000000" w:sz="8" w:space="0"/>
              <w:bottom w:val="single" w:color="000000" w:sz="8" w:space="0"/>
              <w:right w:val="single" w:color="000000" w:sz="8" w:space="0"/>
            </w:tcBorders>
            <w:shd w:val="clear" w:color="auto" w:fill="auto"/>
          </w:tcPr>
          <w:p w14:paraId="36AE4FF4">
            <w:pPr>
              <w:pStyle w:val="76"/>
              <w:ind w:left="156"/>
              <w:rPr>
                <w:rFonts w:ascii="Times New Roman" w:hAnsi="Times New Roman"/>
                <w:sz w:val="20"/>
              </w:rPr>
            </w:pPr>
            <w:r>
              <w:rPr>
                <w:rFonts w:ascii="Times New Roman" w:hAnsi="Times New Roman"/>
                <w:sz w:val="20"/>
              </w:rPr>
              <w:t>100</w:t>
            </w:r>
          </w:p>
        </w:tc>
        <w:tc>
          <w:tcPr>
            <w:tcW w:w="1555" w:type="dxa"/>
            <w:tcBorders>
              <w:top w:val="single" w:color="000000" w:sz="8" w:space="0"/>
              <w:left w:val="single" w:color="000000" w:sz="8" w:space="0"/>
              <w:bottom w:val="single" w:color="000000" w:sz="8" w:space="0"/>
              <w:right w:val="single" w:color="000000" w:sz="8" w:space="0"/>
            </w:tcBorders>
          </w:tcPr>
          <w:p w14:paraId="7832B302">
            <w:pPr>
              <w:pStyle w:val="76"/>
              <w:ind w:left="156"/>
              <w:rPr>
                <w:rFonts w:ascii="Times New Roman" w:hAnsi="Times New Roman"/>
                <w:sz w:val="20"/>
              </w:rPr>
            </w:pPr>
            <w:r>
              <w:rPr>
                <w:rFonts w:ascii="Times New Roman" w:hAnsi="Times New Roman"/>
                <w:sz w:val="20"/>
              </w:rPr>
              <w:t>175</w:t>
            </w:r>
          </w:p>
        </w:tc>
        <w:tc>
          <w:tcPr>
            <w:tcW w:w="1402" w:type="dxa"/>
            <w:tcBorders>
              <w:top w:val="single" w:color="000000" w:sz="8" w:space="0"/>
              <w:left w:val="single" w:color="000000" w:sz="8" w:space="0"/>
              <w:bottom w:val="single" w:color="000000" w:sz="8" w:space="0"/>
              <w:right w:val="single" w:color="000000" w:sz="8" w:space="0"/>
            </w:tcBorders>
          </w:tcPr>
          <w:p w14:paraId="3CF98C29">
            <w:pPr>
              <w:pStyle w:val="76"/>
              <w:ind w:left="156"/>
              <w:rPr>
                <w:rFonts w:ascii="Times New Roman" w:hAnsi="Times New Roman"/>
                <w:color w:val="FF0000"/>
                <w:sz w:val="20"/>
              </w:rPr>
            </w:pPr>
            <w:r>
              <w:rPr>
                <w:rFonts w:ascii="Times New Roman" w:hAnsi="Times New Roman"/>
                <w:color w:val="FF0000"/>
                <w:sz w:val="20"/>
              </w:rPr>
              <w:t>[100]</w:t>
            </w:r>
          </w:p>
        </w:tc>
      </w:tr>
      <w:tr w14:paraId="7A2E69F9">
        <w:trPr>
          <w:trHeight w:val="20" w:hRule="atLeast"/>
          <w:jc w:val="center"/>
        </w:trPr>
        <w:tc>
          <w:tcPr>
            <w:tcW w:w="1072" w:type="dxa"/>
            <w:tcBorders>
              <w:top w:val="single" w:color="000000" w:sz="8" w:space="0"/>
              <w:left w:val="single" w:color="000000" w:sz="8" w:space="0"/>
              <w:bottom w:val="single" w:color="000000" w:sz="8" w:space="0"/>
              <w:right w:val="single" w:color="000000" w:sz="8" w:space="0"/>
            </w:tcBorders>
            <w:shd w:val="clear" w:color="auto" w:fill="auto"/>
          </w:tcPr>
          <w:p w14:paraId="6154E2B3">
            <w:pPr>
              <w:pStyle w:val="5"/>
              <w:rPr>
                <w:lang w:eastAsia="zh-CN"/>
              </w:rPr>
            </w:pPr>
            <w:r>
              <w:rPr>
                <w:lang w:eastAsia="zh-CN"/>
              </w:rPr>
              <w:t xml:space="preserve">SSB or </w:t>
            </w:r>
            <w:r>
              <w:rPr>
                <w:lang w:eastAsia="zh-CN"/>
              </w:rPr>
              <w:br w:type="textWrapping"/>
            </w:r>
            <w:r>
              <w:rPr>
                <w:lang w:eastAsia="zh-CN"/>
              </w:rPr>
              <w:t>CSI-RS proc.</w:t>
            </w:r>
          </w:p>
        </w:tc>
        <w:tc>
          <w:tcPr>
            <w:tcW w:w="3770" w:type="dxa"/>
            <w:tcBorders>
              <w:top w:val="single" w:color="000000" w:sz="8" w:space="0"/>
              <w:left w:val="single" w:color="000000" w:sz="8" w:space="0"/>
              <w:bottom w:val="single" w:color="000000" w:sz="8" w:space="0"/>
              <w:right w:val="single" w:color="000000" w:sz="8" w:space="0"/>
            </w:tcBorders>
            <w:shd w:val="clear" w:color="auto" w:fill="auto"/>
          </w:tcPr>
          <w:p w14:paraId="0CFF775F">
            <w:pPr>
              <w:pStyle w:val="5"/>
              <w:rPr>
                <w:lang w:eastAsia="zh-CN"/>
              </w:rPr>
            </w:pPr>
            <w:r>
              <w:rPr>
                <w:lang w:eastAsia="zh-CN"/>
              </w:rPr>
              <w:t>SSB can be used for fine time-frequency sync. and RSRP measurement of the serving/camping cell.. TRS is the considered CSI-RS for sync. FFS the power scaling for processing other configurations of CSI-RS.</w:t>
            </w:r>
          </w:p>
          <w:p w14:paraId="64EAD7C7">
            <w:pPr>
              <w:pStyle w:val="5"/>
              <w:rPr>
                <w:lang w:eastAsia="zh-CN"/>
              </w:rPr>
            </w:pPr>
            <w:r>
              <w:rPr>
                <w:lang w:eastAsia="zh-CN"/>
              </w:rPr>
              <w:t>(Note 2 SSBs in a slot for the ref. config.)</w:t>
            </w:r>
          </w:p>
        </w:tc>
        <w:tc>
          <w:tcPr>
            <w:tcW w:w="1498" w:type="dxa"/>
            <w:tcBorders>
              <w:top w:val="single" w:color="000000" w:sz="8" w:space="0"/>
              <w:left w:val="single" w:color="000000" w:sz="8" w:space="0"/>
              <w:bottom w:val="single" w:color="000000" w:sz="8" w:space="0"/>
              <w:right w:val="single" w:color="000000" w:sz="8" w:space="0"/>
            </w:tcBorders>
            <w:shd w:val="clear" w:color="auto" w:fill="auto"/>
          </w:tcPr>
          <w:p w14:paraId="4FC85745">
            <w:pPr>
              <w:pStyle w:val="76"/>
              <w:ind w:left="156"/>
              <w:rPr>
                <w:rFonts w:ascii="Times New Roman" w:hAnsi="Times New Roman"/>
                <w:sz w:val="20"/>
              </w:rPr>
            </w:pPr>
            <w:r>
              <w:rPr>
                <w:rFonts w:ascii="Times New Roman" w:hAnsi="Times New Roman"/>
                <w:sz w:val="20"/>
              </w:rPr>
              <w:t>100</w:t>
            </w:r>
          </w:p>
        </w:tc>
        <w:tc>
          <w:tcPr>
            <w:tcW w:w="1555" w:type="dxa"/>
            <w:tcBorders>
              <w:top w:val="single" w:color="000000" w:sz="8" w:space="0"/>
              <w:left w:val="single" w:color="000000" w:sz="8" w:space="0"/>
              <w:bottom w:val="single" w:color="000000" w:sz="8" w:space="0"/>
              <w:right w:val="single" w:color="000000" w:sz="8" w:space="0"/>
            </w:tcBorders>
          </w:tcPr>
          <w:p w14:paraId="5E1E7E79">
            <w:pPr>
              <w:pStyle w:val="76"/>
              <w:ind w:left="156"/>
              <w:rPr>
                <w:rFonts w:ascii="Times New Roman" w:hAnsi="Times New Roman"/>
                <w:sz w:val="20"/>
              </w:rPr>
            </w:pPr>
            <w:r>
              <w:rPr>
                <w:rFonts w:ascii="Times New Roman" w:hAnsi="Times New Roman"/>
                <w:sz w:val="20"/>
              </w:rPr>
              <w:t>175</w:t>
            </w:r>
          </w:p>
        </w:tc>
        <w:tc>
          <w:tcPr>
            <w:tcW w:w="1402" w:type="dxa"/>
            <w:tcBorders>
              <w:top w:val="single" w:color="000000" w:sz="8" w:space="0"/>
              <w:left w:val="single" w:color="000000" w:sz="8" w:space="0"/>
              <w:bottom w:val="single" w:color="000000" w:sz="8" w:space="0"/>
              <w:right w:val="single" w:color="000000" w:sz="8" w:space="0"/>
            </w:tcBorders>
          </w:tcPr>
          <w:p w14:paraId="106B278E">
            <w:pPr>
              <w:pStyle w:val="76"/>
              <w:ind w:left="156"/>
              <w:rPr>
                <w:rFonts w:ascii="Times New Roman" w:hAnsi="Times New Roman"/>
                <w:color w:val="FF0000"/>
                <w:sz w:val="20"/>
              </w:rPr>
            </w:pPr>
            <w:r>
              <w:rPr>
                <w:rFonts w:ascii="Times New Roman" w:hAnsi="Times New Roman"/>
                <w:color w:val="FF0000"/>
                <w:sz w:val="20"/>
              </w:rPr>
              <w:t>[100]</w:t>
            </w:r>
          </w:p>
        </w:tc>
      </w:tr>
      <w:tr w14:paraId="14468C60">
        <w:trPr>
          <w:trHeight w:val="20" w:hRule="atLeast"/>
          <w:jc w:val="center"/>
        </w:trPr>
        <w:tc>
          <w:tcPr>
            <w:tcW w:w="1072" w:type="dxa"/>
            <w:tcBorders>
              <w:top w:val="single" w:color="000000" w:sz="8" w:space="0"/>
              <w:left w:val="single" w:color="000000" w:sz="8" w:space="0"/>
              <w:bottom w:val="single" w:color="000000" w:sz="8" w:space="0"/>
              <w:right w:val="single" w:color="000000" w:sz="8" w:space="0"/>
            </w:tcBorders>
            <w:shd w:val="clear" w:color="auto" w:fill="auto"/>
          </w:tcPr>
          <w:p w14:paraId="05CFFBB8">
            <w:pPr>
              <w:pStyle w:val="5"/>
              <w:rPr>
                <w:lang w:eastAsia="zh-CN"/>
              </w:rPr>
            </w:pPr>
            <w:r>
              <w:rPr>
                <w:lang w:eastAsia="zh-CN"/>
              </w:rPr>
              <w:t>PDCCH + PDSCH</w:t>
            </w:r>
          </w:p>
        </w:tc>
        <w:tc>
          <w:tcPr>
            <w:tcW w:w="3770" w:type="dxa"/>
            <w:tcBorders>
              <w:top w:val="single" w:color="000000" w:sz="8" w:space="0"/>
              <w:left w:val="single" w:color="000000" w:sz="8" w:space="0"/>
              <w:bottom w:val="single" w:color="000000" w:sz="8" w:space="0"/>
              <w:right w:val="single" w:color="000000" w:sz="8" w:space="0"/>
            </w:tcBorders>
            <w:shd w:val="clear" w:color="auto" w:fill="auto"/>
          </w:tcPr>
          <w:p w14:paraId="79EF81D9">
            <w:pPr>
              <w:pStyle w:val="5"/>
              <w:rPr>
                <w:lang w:eastAsia="zh-CN"/>
              </w:rPr>
            </w:pPr>
            <w:r>
              <w:rPr>
                <w:lang w:eastAsia="zh-CN"/>
              </w:rPr>
              <w:t xml:space="preserve">PDCCH + PDSCH. ACK/NACK in long PUCCH is modelled by UL power state. </w:t>
            </w:r>
          </w:p>
        </w:tc>
        <w:tc>
          <w:tcPr>
            <w:tcW w:w="1498" w:type="dxa"/>
            <w:tcBorders>
              <w:top w:val="single" w:color="000000" w:sz="8" w:space="0"/>
              <w:left w:val="single" w:color="000000" w:sz="8" w:space="0"/>
              <w:bottom w:val="single" w:color="000000" w:sz="8" w:space="0"/>
              <w:right w:val="single" w:color="000000" w:sz="8" w:space="0"/>
            </w:tcBorders>
            <w:shd w:val="clear" w:color="auto" w:fill="auto"/>
          </w:tcPr>
          <w:p w14:paraId="073F1E03">
            <w:pPr>
              <w:pStyle w:val="76"/>
              <w:ind w:left="156"/>
              <w:rPr>
                <w:rFonts w:ascii="Times New Roman" w:hAnsi="Times New Roman"/>
                <w:sz w:val="20"/>
              </w:rPr>
            </w:pPr>
            <w:r>
              <w:rPr>
                <w:rFonts w:ascii="Times New Roman" w:hAnsi="Times New Roman"/>
                <w:sz w:val="20"/>
              </w:rPr>
              <w:t>300</w:t>
            </w:r>
          </w:p>
        </w:tc>
        <w:tc>
          <w:tcPr>
            <w:tcW w:w="1555" w:type="dxa"/>
            <w:tcBorders>
              <w:top w:val="single" w:color="000000" w:sz="8" w:space="0"/>
              <w:left w:val="single" w:color="000000" w:sz="8" w:space="0"/>
              <w:bottom w:val="single" w:color="000000" w:sz="8" w:space="0"/>
              <w:right w:val="single" w:color="000000" w:sz="8" w:space="0"/>
            </w:tcBorders>
          </w:tcPr>
          <w:p w14:paraId="262BB83F">
            <w:pPr>
              <w:pStyle w:val="76"/>
              <w:ind w:left="156"/>
              <w:rPr>
                <w:rFonts w:ascii="Times New Roman" w:hAnsi="Times New Roman"/>
                <w:sz w:val="20"/>
              </w:rPr>
            </w:pPr>
            <w:r>
              <w:rPr>
                <w:rFonts w:ascii="Times New Roman" w:hAnsi="Times New Roman"/>
                <w:sz w:val="20"/>
              </w:rPr>
              <w:t>350</w:t>
            </w:r>
          </w:p>
        </w:tc>
        <w:tc>
          <w:tcPr>
            <w:tcW w:w="1402" w:type="dxa"/>
            <w:tcBorders>
              <w:top w:val="single" w:color="000000" w:sz="8" w:space="0"/>
              <w:left w:val="single" w:color="000000" w:sz="8" w:space="0"/>
              <w:bottom w:val="single" w:color="000000" w:sz="8" w:space="0"/>
              <w:right w:val="single" w:color="000000" w:sz="8" w:space="0"/>
            </w:tcBorders>
          </w:tcPr>
          <w:p w14:paraId="0E923F97">
            <w:pPr>
              <w:pStyle w:val="76"/>
              <w:ind w:left="156"/>
              <w:rPr>
                <w:rFonts w:ascii="Times New Roman" w:hAnsi="Times New Roman"/>
                <w:color w:val="FF0000"/>
                <w:sz w:val="20"/>
              </w:rPr>
            </w:pPr>
            <w:r>
              <w:rPr>
                <w:rFonts w:ascii="Times New Roman" w:hAnsi="Times New Roman"/>
                <w:color w:val="FF0000"/>
                <w:sz w:val="20"/>
              </w:rPr>
              <w:t>[300]</w:t>
            </w:r>
          </w:p>
        </w:tc>
      </w:tr>
      <w:tr w14:paraId="76FECE96">
        <w:trPr>
          <w:trHeight w:val="20" w:hRule="atLeast"/>
          <w:jc w:val="center"/>
        </w:trPr>
        <w:tc>
          <w:tcPr>
            <w:tcW w:w="1072" w:type="dxa"/>
            <w:tcBorders>
              <w:top w:val="single" w:color="000000" w:sz="8" w:space="0"/>
              <w:left w:val="single" w:color="000000" w:sz="8" w:space="0"/>
              <w:bottom w:val="single" w:color="000000" w:sz="8" w:space="0"/>
              <w:right w:val="single" w:color="000000" w:sz="8" w:space="0"/>
            </w:tcBorders>
            <w:shd w:val="clear" w:color="auto" w:fill="auto"/>
          </w:tcPr>
          <w:p w14:paraId="3CB29671">
            <w:pPr>
              <w:pStyle w:val="5"/>
              <w:rPr>
                <w:lang w:eastAsia="zh-CN"/>
              </w:rPr>
            </w:pPr>
            <w:r>
              <w:rPr>
                <w:lang w:eastAsia="zh-CN"/>
              </w:rPr>
              <w:t>PDSCH-only slot</w:t>
            </w:r>
          </w:p>
        </w:tc>
        <w:tc>
          <w:tcPr>
            <w:tcW w:w="3770" w:type="dxa"/>
            <w:tcBorders>
              <w:top w:val="single" w:color="000000" w:sz="8" w:space="0"/>
              <w:left w:val="single" w:color="000000" w:sz="8" w:space="0"/>
              <w:bottom w:val="single" w:color="000000" w:sz="8" w:space="0"/>
              <w:right w:val="single" w:color="000000" w:sz="8" w:space="0"/>
            </w:tcBorders>
            <w:shd w:val="clear" w:color="auto" w:fill="auto"/>
          </w:tcPr>
          <w:p w14:paraId="794745BC">
            <w:pPr>
              <w:pStyle w:val="5"/>
              <w:rPr>
                <w:lang w:eastAsia="zh-CN"/>
              </w:rPr>
            </w:pPr>
            <w:r>
              <w:rPr>
                <w:lang w:eastAsia="zh-CN"/>
              </w:rPr>
              <w:t>This assumes the same number of PDSCH symbols as in the PDCCH+PDSCH case.</w:t>
            </w:r>
          </w:p>
        </w:tc>
        <w:tc>
          <w:tcPr>
            <w:tcW w:w="1498" w:type="dxa"/>
            <w:tcBorders>
              <w:top w:val="single" w:color="000000" w:sz="8" w:space="0"/>
              <w:left w:val="single" w:color="000000" w:sz="8" w:space="0"/>
              <w:bottom w:val="single" w:color="000000" w:sz="8" w:space="0"/>
              <w:right w:val="single" w:color="000000" w:sz="8" w:space="0"/>
            </w:tcBorders>
            <w:shd w:val="clear" w:color="auto" w:fill="auto"/>
          </w:tcPr>
          <w:p w14:paraId="7A801E1E">
            <w:pPr>
              <w:pStyle w:val="76"/>
              <w:ind w:left="156"/>
              <w:rPr>
                <w:rFonts w:ascii="Times New Roman" w:hAnsi="Times New Roman"/>
                <w:sz w:val="20"/>
                <w:lang w:eastAsia="zh-CN"/>
              </w:rPr>
            </w:pPr>
            <w:r>
              <w:rPr>
                <w:rFonts w:ascii="Times New Roman" w:hAnsi="Times New Roman"/>
                <w:sz w:val="20"/>
                <w:lang w:eastAsia="zh-CN"/>
              </w:rPr>
              <w:t>280</w:t>
            </w:r>
          </w:p>
        </w:tc>
        <w:tc>
          <w:tcPr>
            <w:tcW w:w="1555" w:type="dxa"/>
            <w:tcBorders>
              <w:top w:val="single" w:color="000000" w:sz="8" w:space="0"/>
              <w:left w:val="single" w:color="000000" w:sz="8" w:space="0"/>
              <w:bottom w:val="single" w:color="000000" w:sz="8" w:space="0"/>
              <w:right w:val="single" w:color="000000" w:sz="8" w:space="0"/>
            </w:tcBorders>
          </w:tcPr>
          <w:p w14:paraId="057E78F3">
            <w:pPr>
              <w:pStyle w:val="76"/>
              <w:ind w:left="156"/>
              <w:rPr>
                <w:rFonts w:ascii="Times New Roman" w:hAnsi="Times New Roman"/>
                <w:sz w:val="20"/>
                <w:lang w:eastAsia="zh-CN"/>
              </w:rPr>
            </w:pPr>
            <w:r>
              <w:rPr>
                <w:rFonts w:ascii="Times New Roman" w:hAnsi="Times New Roman"/>
                <w:sz w:val="20"/>
                <w:lang w:eastAsia="zh-CN"/>
              </w:rPr>
              <w:t>325</w:t>
            </w:r>
          </w:p>
        </w:tc>
        <w:tc>
          <w:tcPr>
            <w:tcW w:w="1402" w:type="dxa"/>
            <w:tcBorders>
              <w:top w:val="single" w:color="000000" w:sz="8" w:space="0"/>
              <w:left w:val="single" w:color="000000" w:sz="8" w:space="0"/>
              <w:bottom w:val="single" w:color="000000" w:sz="8" w:space="0"/>
              <w:right w:val="single" w:color="000000" w:sz="8" w:space="0"/>
            </w:tcBorders>
          </w:tcPr>
          <w:p w14:paraId="730944C1">
            <w:pPr>
              <w:pStyle w:val="76"/>
              <w:ind w:left="156"/>
              <w:rPr>
                <w:rFonts w:ascii="Times New Roman" w:hAnsi="Times New Roman"/>
                <w:color w:val="FF0000"/>
                <w:sz w:val="20"/>
                <w:lang w:eastAsia="zh-CN"/>
              </w:rPr>
            </w:pPr>
            <w:r>
              <w:rPr>
                <w:rFonts w:ascii="Times New Roman" w:hAnsi="Times New Roman"/>
                <w:color w:val="FF0000"/>
                <w:sz w:val="20"/>
                <w:lang w:eastAsia="zh-CN"/>
              </w:rPr>
              <w:t>[280]</w:t>
            </w:r>
          </w:p>
        </w:tc>
      </w:tr>
      <w:tr w14:paraId="08931F6C">
        <w:trPr>
          <w:trHeight w:val="20" w:hRule="atLeast"/>
          <w:jc w:val="center"/>
        </w:trPr>
        <w:tc>
          <w:tcPr>
            <w:tcW w:w="1072" w:type="dxa"/>
            <w:tcBorders>
              <w:top w:val="single" w:color="000000" w:sz="8" w:space="0"/>
              <w:left w:val="single" w:color="000000" w:sz="8" w:space="0"/>
              <w:bottom w:val="single" w:color="000000" w:sz="8" w:space="0"/>
              <w:right w:val="single" w:color="000000" w:sz="8" w:space="0"/>
            </w:tcBorders>
            <w:shd w:val="clear" w:color="auto" w:fill="auto"/>
          </w:tcPr>
          <w:p w14:paraId="73B2781C">
            <w:pPr>
              <w:pStyle w:val="5"/>
              <w:rPr>
                <w:lang w:eastAsia="zh-CN"/>
              </w:rPr>
            </w:pPr>
            <w:r>
              <w:rPr>
                <w:lang w:eastAsia="zh-CN"/>
              </w:rPr>
              <w:t>UL</w:t>
            </w:r>
          </w:p>
        </w:tc>
        <w:tc>
          <w:tcPr>
            <w:tcW w:w="3770" w:type="dxa"/>
            <w:tcBorders>
              <w:top w:val="single" w:color="000000" w:sz="8" w:space="0"/>
              <w:left w:val="single" w:color="000000" w:sz="8" w:space="0"/>
              <w:bottom w:val="single" w:color="000000" w:sz="8" w:space="0"/>
              <w:right w:val="single" w:color="000000" w:sz="8" w:space="0"/>
            </w:tcBorders>
            <w:shd w:val="clear" w:color="auto" w:fill="auto"/>
          </w:tcPr>
          <w:p w14:paraId="09A5CCF7">
            <w:pPr>
              <w:pStyle w:val="5"/>
              <w:rPr>
                <w:lang w:eastAsia="zh-CN"/>
              </w:rPr>
            </w:pPr>
            <w:r>
              <w:rPr>
                <w:lang w:eastAsia="zh-CN"/>
              </w:rPr>
              <w:t xml:space="preserve">Long PUCCH or PUSCH. </w:t>
            </w:r>
          </w:p>
        </w:tc>
        <w:tc>
          <w:tcPr>
            <w:tcW w:w="1498" w:type="dxa"/>
            <w:tcBorders>
              <w:top w:val="single" w:color="000000" w:sz="8" w:space="0"/>
              <w:left w:val="single" w:color="000000" w:sz="8" w:space="0"/>
              <w:bottom w:val="single" w:color="000000" w:sz="8" w:space="0"/>
              <w:right w:val="single" w:color="000000" w:sz="8" w:space="0"/>
            </w:tcBorders>
            <w:shd w:val="clear" w:color="auto" w:fill="auto"/>
          </w:tcPr>
          <w:p w14:paraId="691006CA">
            <w:pPr>
              <w:pStyle w:val="76"/>
              <w:ind w:left="156"/>
              <w:rPr>
                <w:rFonts w:ascii="Times New Roman" w:hAnsi="Times New Roman"/>
                <w:sz w:val="20"/>
              </w:rPr>
            </w:pPr>
            <w:r>
              <w:rPr>
                <w:rFonts w:ascii="Times New Roman" w:hAnsi="Times New Roman"/>
                <w:sz w:val="20"/>
              </w:rPr>
              <w:t>250 (0 dBm)</w:t>
            </w:r>
          </w:p>
          <w:p w14:paraId="43DFF3FD">
            <w:pPr>
              <w:pStyle w:val="76"/>
              <w:ind w:left="156"/>
              <w:rPr>
                <w:rFonts w:ascii="Times New Roman" w:hAnsi="Times New Roman"/>
                <w:sz w:val="20"/>
              </w:rPr>
            </w:pPr>
            <w:r>
              <w:rPr>
                <w:rFonts w:ascii="Times New Roman" w:hAnsi="Times New Roman"/>
                <w:sz w:val="20"/>
              </w:rPr>
              <w:t>700 (23 dBm)</w:t>
            </w:r>
          </w:p>
        </w:tc>
        <w:tc>
          <w:tcPr>
            <w:tcW w:w="1555" w:type="dxa"/>
            <w:tcBorders>
              <w:top w:val="single" w:color="000000" w:sz="8" w:space="0"/>
              <w:left w:val="single" w:color="000000" w:sz="8" w:space="0"/>
              <w:bottom w:val="single" w:color="000000" w:sz="8" w:space="0"/>
              <w:right w:val="single" w:color="000000" w:sz="8" w:space="0"/>
            </w:tcBorders>
          </w:tcPr>
          <w:p w14:paraId="79F86FF2">
            <w:pPr>
              <w:pStyle w:val="76"/>
              <w:ind w:left="156"/>
              <w:rPr>
                <w:rFonts w:ascii="Times New Roman" w:hAnsi="Times New Roman"/>
                <w:sz w:val="20"/>
              </w:rPr>
            </w:pPr>
            <w:r>
              <w:rPr>
                <w:rFonts w:ascii="Times New Roman" w:hAnsi="Times New Roman"/>
                <w:sz w:val="20"/>
              </w:rPr>
              <w:t>350</w:t>
            </w:r>
          </w:p>
          <w:p w14:paraId="30097A2E">
            <w:pPr>
              <w:pStyle w:val="76"/>
              <w:ind w:left="156"/>
              <w:rPr>
                <w:rFonts w:ascii="Times New Roman" w:hAnsi="Times New Roman"/>
                <w:sz w:val="20"/>
              </w:rPr>
            </w:pPr>
            <w:r>
              <w:rPr>
                <w:rFonts w:ascii="Times New Roman" w:hAnsi="Times New Roman"/>
                <w:sz w:val="20"/>
              </w:rPr>
              <w:t>(FFS Tx power level)</w:t>
            </w:r>
          </w:p>
          <w:p w14:paraId="06908D40">
            <w:pPr>
              <w:pStyle w:val="76"/>
              <w:ind w:left="156"/>
              <w:rPr>
                <w:rFonts w:ascii="Times New Roman" w:hAnsi="Times New Roman"/>
                <w:sz w:val="20"/>
              </w:rPr>
            </w:pPr>
          </w:p>
        </w:tc>
        <w:tc>
          <w:tcPr>
            <w:tcW w:w="1402" w:type="dxa"/>
            <w:tcBorders>
              <w:top w:val="single" w:color="000000" w:sz="8" w:space="0"/>
              <w:left w:val="single" w:color="000000" w:sz="8" w:space="0"/>
              <w:bottom w:val="single" w:color="000000" w:sz="8" w:space="0"/>
              <w:right w:val="single" w:color="000000" w:sz="8" w:space="0"/>
            </w:tcBorders>
          </w:tcPr>
          <w:p w14:paraId="0A583F80">
            <w:pPr>
              <w:pStyle w:val="76"/>
              <w:ind w:left="156"/>
              <w:rPr>
                <w:rFonts w:ascii="Times New Roman" w:hAnsi="Times New Roman"/>
                <w:color w:val="FF0000"/>
                <w:sz w:val="20"/>
              </w:rPr>
            </w:pPr>
            <w:r>
              <w:rPr>
                <w:rFonts w:ascii="Times New Roman" w:hAnsi="Times New Roman"/>
                <w:color w:val="FF0000"/>
                <w:sz w:val="20"/>
              </w:rPr>
              <w:t>[250] (0 dBm)</w:t>
            </w:r>
          </w:p>
          <w:p w14:paraId="56F041DE">
            <w:pPr>
              <w:pStyle w:val="76"/>
              <w:ind w:left="156"/>
              <w:rPr>
                <w:rFonts w:ascii="Times New Roman" w:hAnsi="Times New Roman"/>
                <w:color w:val="FF0000"/>
                <w:sz w:val="20"/>
              </w:rPr>
            </w:pPr>
            <w:r>
              <w:rPr>
                <w:rFonts w:ascii="Times New Roman" w:hAnsi="Times New Roman"/>
                <w:color w:val="FF0000"/>
                <w:sz w:val="20"/>
              </w:rPr>
              <w:t>[700] (23 dBm)</w:t>
            </w:r>
          </w:p>
        </w:tc>
      </w:tr>
      <w:tr w14:paraId="3DCB2CD8">
        <w:trPr>
          <w:trHeight w:val="20" w:hRule="atLeast"/>
          <w:jc w:val="center"/>
        </w:trPr>
        <w:tc>
          <w:tcPr>
            <w:tcW w:w="9297" w:type="dxa"/>
            <w:gridSpan w:val="5"/>
            <w:tcBorders>
              <w:top w:val="single" w:color="000000" w:sz="8" w:space="0"/>
              <w:left w:val="single" w:color="000000" w:sz="8" w:space="0"/>
              <w:bottom w:val="single" w:color="000000" w:sz="8" w:space="0"/>
              <w:right w:val="single" w:color="000000" w:sz="8" w:space="0"/>
            </w:tcBorders>
            <w:shd w:val="clear" w:color="auto" w:fill="auto"/>
          </w:tcPr>
          <w:p w14:paraId="5496F1E8">
            <w:pPr>
              <w:pStyle w:val="76"/>
              <w:ind w:left="156"/>
              <w:rPr>
                <w:rFonts w:ascii="Times New Roman" w:hAnsi="Times New Roman"/>
                <w:color w:val="FF0000"/>
                <w:sz w:val="20"/>
                <w:lang w:eastAsia="zh-CN"/>
              </w:rPr>
            </w:pPr>
            <w:r>
              <w:rPr>
                <w:rFonts w:ascii="Times New Roman" w:hAnsi="Times New Roman"/>
                <w:color w:val="FF0000"/>
                <w:sz w:val="20"/>
                <w:lang w:eastAsia="zh-CN"/>
              </w:rPr>
              <w:t>Note: For the UL transmission power other than 0 dBm and 23 dBm, the relative power is determined by linear interpolation or a range of the transmission power.</w:t>
            </w:r>
          </w:p>
        </w:tc>
      </w:tr>
      <w:bookmarkEnd w:id="16"/>
    </w:tbl>
    <w:p w14:paraId="1FACEF31">
      <w:pPr>
        <w:pStyle w:val="5"/>
        <w:rPr>
          <w:lang w:eastAsia="zh-CN"/>
        </w:rPr>
      </w:pPr>
    </w:p>
    <w:p w14:paraId="10C30058">
      <w:pPr>
        <w:pStyle w:val="5"/>
        <w:rPr>
          <w:rFonts w:hint="eastAsia"/>
          <w:sz w:val="22"/>
          <w:szCs w:val="22"/>
          <w:lang w:eastAsia="zh-CN"/>
        </w:rPr>
      </w:pPr>
      <w:r>
        <w:rPr>
          <w:rFonts w:hint="eastAsia"/>
          <w:sz w:val="22"/>
          <w:szCs w:val="22"/>
          <w:lang w:eastAsia="zh-CN"/>
        </w:rPr>
        <w:t>I</w:t>
      </w:r>
      <w:r>
        <w:rPr>
          <w:sz w:val="22"/>
          <w:szCs w:val="22"/>
          <w:lang w:eastAsia="zh-CN"/>
        </w:rPr>
        <w:t xml:space="preserve">n TR 38.840, UE power models for RRM measurements for FR1/FR2 including </w:t>
      </w:r>
      <w:r>
        <w:rPr>
          <w:sz w:val="22"/>
          <w:szCs w:val="22"/>
        </w:rPr>
        <w:t xml:space="preserve">intra-frequency measurements and inter-frequency measurement are defined, which </w:t>
      </w:r>
      <w:r>
        <w:rPr>
          <w:sz w:val="22"/>
          <w:szCs w:val="22"/>
          <w:lang w:eastAsia="zh-CN"/>
        </w:rPr>
        <w:t>can be used as the starting point for 6GR. The reference configuration for FR1 can be reused for FR3.</w:t>
      </w:r>
    </w:p>
    <w:p w14:paraId="021A1E9D">
      <w:pPr>
        <w:pStyle w:val="5"/>
        <w:rPr>
          <w:rFonts w:hint="default" w:ascii="Times New Roman Bold Italic" w:hAnsi="Times New Roman Bold Italic" w:cs="Times New Roman Bold Italic"/>
          <w:b/>
          <w:bCs/>
          <w:i/>
          <w:iCs/>
          <w:sz w:val="22"/>
          <w:szCs w:val="22"/>
          <w:lang w:eastAsia="zh-CN"/>
        </w:rPr>
      </w:pPr>
      <w:r>
        <w:rPr>
          <w:rFonts w:hint="default" w:ascii="Times New Roman Bold Italic" w:hAnsi="Times New Roman Bold Italic" w:cs="Times New Roman Bold Italic"/>
          <w:b/>
          <w:bCs/>
          <w:i/>
          <w:iCs/>
          <w:sz w:val="22"/>
          <w:szCs w:val="22"/>
          <w:lang w:eastAsia="zh-CN"/>
        </w:rPr>
        <w:t xml:space="preserve">Proposal </w:t>
      </w:r>
      <w:r>
        <w:rPr>
          <w:rFonts w:hint="eastAsia" w:ascii="Times New Roman Bold Italic" w:hAnsi="Times New Roman Bold Italic" w:cs="Times New Roman Bold Italic"/>
          <w:b/>
          <w:bCs/>
          <w:i/>
          <w:iCs/>
          <w:sz w:val="22"/>
          <w:szCs w:val="22"/>
          <w:lang w:val="en-US" w:eastAsia="zh-CN"/>
        </w:rPr>
        <w:t>15</w:t>
      </w:r>
      <w:r>
        <w:rPr>
          <w:rFonts w:hint="default" w:ascii="Times New Roman Bold Italic" w:hAnsi="Times New Roman Bold Italic" w:cs="Times New Roman Bold Italic"/>
          <w:b/>
          <w:bCs/>
          <w:i/>
          <w:iCs/>
          <w:sz w:val="22"/>
          <w:szCs w:val="22"/>
          <w:lang w:eastAsia="zh-CN"/>
        </w:rPr>
        <w:t>: For FR3 RRM measurements, reusing the reference configuration for FR1.</w:t>
      </w:r>
    </w:p>
    <w:p w14:paraId="261104EB">
      <w:pPr>
        <w:pStyle w:val="5"/>
        <w:rPr>
          <w:lang w:eastAsia="zh-CN"/>
        </w:rPr>
      </w:pPr>
    </w:p>
    <w:p w14:paraId="11748FF3">
      <w:pPr>
        <w:pStyle w:val="4"/>
        <w:numPr>
          <w:ilvl w:val="2"/>
          <w:numId w:val="0"/>
        </w:numPr>
        <w:tabs>
          <w:tab w:val="clear" w:pos="432"/>
          <w:tab w:val="clear" w:pos="720"/>
        </w:tabs>
        <w:rPr>
          <w:lang w:eastAsia="zh-CN"/>
        </w:rPr>
      </w:pPr>
      <w:r>
        <w:rPr>
          <w:lang w:eastAsia="zh-CN"/>
        </w:rPr>
        <w:t>4</w:t>
      </w:r>
      <w:r>
        <w:rPr>
          <w:rFonts w:hint="eastAsia"/>
          <w:lang w:eastAsia="zh-CN"/>
        </w:rPr>
        <w:t>.2.</w:t>
      </w:r>
      <w:r>
        <w:rPr>
          <w:lang w:eastAsia="zh-CN"/>
        </w:rPr>
        <w:t xml:space="preserve">2 Power model for </w:t>
      </w:r>
      <w:r>
        <w:rPr>
          <w:rFonts w:eastAsia="Calibri" w:cs="Arial"/>
        </w:rPr>
        <w:t xml:space="preserve">diverse </w:t>
      </w:r>
      <w:r>
        <w:rPr>
          <w:lang w:eastAsia="zh-CN"/>
        </w:rPr>
        <w:t>device types</w:t>
      </w:r>
    </w:p>
    <w:p w14:paraId="2A9B3CBA">
      <w:pPr>
        <w:pStyle w:val="5"/>
        <w:rPr>
          <w:sz w:val="22"/>
          <w:szCs w:val="22"/>
        </w:rPr>
      </w:pPr>
      <w:r>
        <w:rPr>
          <w:sz w:val="22"/>
          <w:szCs w:val="22"/>
        </w:rPr>
        <w:t xml:space="preserve">RedCap were introduced to serve mid-tier IoT and wearable use cases that do not require the full 5G capabilities. RedCap UEs have lower complexity and cost, which directly impacts their power consumption profile. </w:t>
      </w:r>
      <w:r>
        <w:rPr>
          <w:rFonts w:hint="eastAsia"/>
          <w:sz w:val="22"/>
          <w:szCs w:val="22"/>
          <w:lang w:eastAsia="zh-CN"/>
        </w:rPr>
        <w:t>A</w:t>
      </w:r>
      <w:r>
        <w:rPr>
          <w:sz w:val="22"/>
          <w:szCs w:val="22"/>
          <w:lang w:eastAsia="zh-CN"/>
        </w:rPr>
        <w:t xml:space="preserve">ccording to the TR38.875, the power model for RedCap for FR1 is shown as in Table </w:t>
      </w:r>
      <w:r>
        <w:rPr>
          <w:rFonts w:hint="eastAsia"/>
          <w:sz w:val="22"/>
          <w:szCs w:val="22"/>
          <w:lang w:val="en-US" w:eastAsia="zh-CN"/>
        </w:rPr>
        <w:t>8</w:t>
      </w:r>
      <w:r>
        <w:rPr>
          <w:sz w:val="22"/>
          <w:szCs w:val="22"/>
          <w:lang w:eastAsia="zh-CN"/>
        </w:rPr>
        <w:t xml:space="preserve">. </w:t>
      </w:r>
      <w:r>
        <w:rPr>
          <w:sz w:val="22"/>
          <w:szCs w:val="22"/>
        </w:rPr>
        <w:t>A RedCap UE’s baseline power consumption in various states is typically lower than a regular UE. For instance, because of simpler hardware. Also, partly because many RedCap use cases don’t require high transmit power or extensive RF bandwidth</w:t>
      </w:r>
    </w:p>
    <w:p w14:paraId="6E5CEE94">
      <w:pPr>
        <w:pStyle w:val="13"/>
        <w:rPr>
          <w:rFonts w:hint="default" w:ascii="Times New Roman Italic" w:hAnsi="Times New Roman Italic" w:cs="Times New Roman Italic"/>
          <w:b w:val="0"/>
          <w:bCs w:val="0"/>
          <w:i/>
          <w:iCs/>
          <w:highlight w:val="none"/>
          <w:lang w:eastAsia="zh-CN"/>
        </w:rPr>
      </w:pPr>
      <w:r>
        <w:rPr>
          <w:rFonts w:hint="default" w:ascii="Times New Roman Italic" w:hAnsi="Times New Roman Italic" w:cs="Times New Roman Italic"/>
          <w:b w:val="0"/>
          <w:bCs w:val="0"/>
          <w:i/>
          <w:iCs/>
          <w:highlight w:val="none"/>
        </w:rPr>
        <w:t xml:space="preserve">Table </w:t>
      </w:r>
      <w:r>
        <w:rPr>
          <w:rFonts w:hint="default" w:ascii="Times New Roman Italic" w:hAnsi="Times New Roman Italic" w:cs="Times New Roman Italic"/>
          <w:b w:val="0"/>
          <w:bCs w:val="0"/>
          <w:i/>
          <w:iCs/>
          <w:highlight w:val="none"/>
          <w:lang w:val="en-US" w:eastAsia="zh-CN"/>
        </w:rPr>
        <w:t>8</w:t>
      </w:r>
      <w:r>
        <w:rPr>
          <w:rFonts w:hint="default" w:ascii="Times New Roman Italic" w:hAnsi="Times New Roman Italic" w:cs="Times New Roman Italic"/>
          <w:b w:val="0"/>
          <w:bCs w:val="0"/>
          <w:i/>
          <w:iCs/>
          <w:highlight w:val="none"/>
        </w:rPr>
        <w:t xml:space="preserve"> UE power consumption model for RedCap for FR1</w:t>
      </w:r>
    </w:p>
    <w:tbl>
      <w:tblPr>
        <w:tblStyle w:val="28"/>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30"/>
        <w:gridCol w:w="6184"/>
      </w:tblGrid>
      <w:tr w14:paraId="2190FD37">
        <w:trPr>
          <w:trHeight w:val="506" w:hRule="atLeast"/>
          <w:jc w:val="center"/>
        </w:trPr>
        <w:tc>
          <w:tcPr>
            <w:tcW w:w="3030" w:type="dxa"/>
          </w:tcPr>
          <w:p w14:paraId="3686205D">
            <w:pPr>
              <w:widowControl w:val="0"/>
              <w:spacing w:line="231" w:lineRule="atLeast"/>
              <w:jc w:val="center"/>
              <w:rPr>
                <w:b/>
                <w:bCs/>
                <w:sz w:val="20"/>
                <w:szCs w:val="20"/>
              </w:rPr>
            </w:pPr>
            <w:r>
              <w:rPr>
                <w:b/>
                <w:bCs/>
                <w:sz w:val="20"/>
                <w:szCs w:val="20"/>
              </w:rPr>
              <w:t>Power State</w:t>
            </w:r>
          </w:p>
        </w:tc>
        <w:tc>
          <w:tcPr>
            <w:tcW w:w="6184" w:type="dxa"/>
          </w:tcPr>
          <w:p w14:paraId="5294626E">
            <w:pPr>
              <w:widowControl w:val="0"/>
              <w:jc w:val="center"/>
              <w:rPr>
                <w:b/>
                <w:bCs/>
                <w:sz w:val="20"/>
                <w:szCs w:val="20"/>
              </w:rPr>
            </w:pPr>
            <w:r>
              <w:rPr>
                <w:b/>
                <w:bCs/>
                <w:sz w:val="20"/>
                <w:szCs w:val="20"/>
              </w:rPr>
              <w:t xml:space="preserve">Relative power </w:t>
            </w:r>
          </w:p>
        </w:tc>
      </w:tr>
      <w:tr w14:paraId="69DD59D5">
        <w:trPr>
          <w:trHeight w:val="17" w:hRule="atLeast"/>
          <w:jc w:val="center"/>
        </w:trPr>
        <w:tc>
          <w:tcPr>
            <w:tcW w:w="3030" w:type="dxa"/>
          </w:tcPr>
          <w:p w14:paraId="74214EE3">
            <w:pPr>
              <w:widowControl w:val="0"/>
              <w:spacing w:line="231" w:lineRule="atLeast"/>
              <w:jc w:val="center"/>
              <w:rPr>
                <w:sz w:val="20"/>
                <w:szCs w:val="20"/>
              </w:rPr>
            </w:pPr>
            <w:r>
              <w:rPr>
                <w:sz w:val="20"/>
                <w:szCs w:val="20"/>
              </w:rPr>
              <w:t>Deep Sleep (PDS)</w:t>
            </w:r>
          </w:p>
        </w:tc>
        <w:tc>
          <w:tcPr>
            <w:tcW w:w="6184" w:type="dxa"/>
          </w:tcPr>
          <w:p w14:paraId="3CDC48B0">
            <w:pPr>
              <w:widowControl w:val="0"/>
              <w:spacing w:line="231" w:lineRule="atLeast"/>
              <w:jc w:val="center"/>
              <w:rPr>
                <w:sz w:val="20"/>
                <w:szCs w:val="20"/>
              </w:rPr>
            </w:pPr>
            <w:r>
              <w:t>0.8</w:t>
            </w:r>
          </w:p>
        </w:tc>
      </w:tr>
      <w:tr w14:paraId="727F3F25">
        <w:trPr>
          <w:trHeight w:val="17" w:hRule="atLeast"/>
          <w:jc w:val="center"/>
        </w:trPr>
        <w:tc>
          <w:tcPr>
            <w:tcW w:w="3030" w:type="dxa"/>
          </w:tcPr>
          <w:p w14:paraId="1D3FDB05">
            <w:pPr>
              <w:widowControl w:val="0"/>
              <w:spacing w:line="231" w:lineRule="atLeast"/>
              <w:jc w:val="center"/>
              <w:rPr>
                <w:sz w:val="20"/>
                <w:szCs w:val="20"/>
              </w:rPr>
            </w:pPr>
            <w:r>
              <w:rPr>
                <w:sz w:val="20"/>
                <w:szCs w:val="20"/>
              </w:rPr>
              <w:t>Light Sleep (PLS)</w:t>
            </w:r>
          </w:p>
        </w:tc>
        <w:tc>
          <w:tcPr>
            <w:tcW w:w="6184" w:type="dxa"/>
          </w:tcPr>
          <w:p w14:paraId="35C21A7F">
            <w:pPr>
              <w:widowControl w:val="0"/>
              <w:spacing w:line="231" w:lineRule="atLeast"/>
              <w:jc w:val="center"/>
              <w:rPr>
                <w:sz w:val="20"/>
                <w:szCs w:val="20"/>
              </w:rPr>
            </w:pPr>
            <w:r>
              <w:t>18</w:t>
            </w:r>
          </w:p>
        </w:tc>
      </w:tr>
      <w:tr w14:paraId="1C3473CD">
        <w:trPr>
          <w:trHeight w:val="17" w:hRule="atLeast"/>
          <w:jc w:val="center"/>
        </w:trPr>
        <w:tc>
          <w:tcPr>
            <w:tcW w:w="3030" w:type="dxa"/>
          </w:tcPr>
          <w:p w14:paraId="3573C595">
            <w:pPr>
              <w:widowControl w:val="0"/>
              <w:spacing w:line="231" w:lineRule="atLeast"/>
              <w:jc w:val="center"/>
              <w:rPr>
                <w:sz w:val="20"/>
                <w:szCs w:val="20"/>
              </w:rPr>
            </w:pPr>
            <w:r>
              <w:rPr>
                <w:sz w:val="20"/>
                <w:szCs w:val="20"/>
              </w:rPr>
              <w:t>Micro sleep (PMS)</w:t>
            </w:r>
          </w:p>
        </w:tc>
        <w:tc>
          <w:tcPr>
            <w:tcW w:w="6184" w:type="dxa"/>
          </w:tcPr>
          <w:p w14:paraId="356FC710">
            <w:pPr>
              <w:widowControl w:val="0"/>
              <w:spacing w:line="231" w:lineRule="atLeast"/>
              <w:jc w:val="center"/>
              <w:rPr>
                <w:sz w:val="20"/>
                <w:szCs w:val="20"/>
              </w:rPr>
            </w:pPr>
            <w:r>
              <w:t>31</w:t>
            </w:r>
          </w:p>
        </w:tc>
      </w:tr>
      <w:tr w14:paraId="12BA271D">
        <w:trPr>
          <w:trHeight w:val="17" w:hRule="atLeast"/>
          <w:jc w:val="center"/>
        </w:trPr>
        <w:tc>
          <w:tcPr>
            <w:tcW w:w="3030" w:type="dxa"/>
          </w:tcPr>
          <w:p w14:paraId="524EE5FF">
            <w:pPr>
              <w:widowControl w:val="0"/>
              <w:spacing w:line="231" w:lineRule="atLeast"/>
              <w:jc w:val="center"/>
              <w:rPr>
                <w:sz w:val="20"/>
                <w:szCs w:val="20"/>
              </w:rPr>
            </w:pPr>
            <w:r>
              <w:rPr>
                <w:sz w:val="20"/>
                <w:szCs w:val="20"/>
              </w:rPr>
              <w:t>PDCCH-only (P</w:t>
            </w:r>
            <w:r>
              <w:rPr>
                <w:sz w:val="20"/>
                <w:szCs w:val="20"/>
                <w:vertAlign w:val="subscript"/>
              </w:rPr>
              <w:t>PDCCH</w:t>
            </w:r>
            <w:r>
              <w:rPr>
                <w:sz w:val="20"/>
                <w:szCs w:val="20"/>
              </w:rPr>
              <w:t>)</w:t>
            </w:r>
          </w:p>
        </w:tc>
        <w:tc>
          <w:tcPr>
            <w:tcW w:w="6184" w:type="dxa"/>
          </w:tcPr>
          <w:p w14:paraId="37DA3843">
            <w:pPr>
              <w:widowControl w:val="0"/>
              <w:spacing w:line="231" w:lineRule="atLeast"/>
              <w:jc w:val="center"/>
              <w:rPr>
                <w:sz w:val="20"/>
                <w:szCs w:val="20"/>
              </w:rPr>
            </w:pPr>
            <w:r>
              <w:rPr>
                <w:sz w:val="20"/>
                <w:szCs w:val="20"/>
              </w:rPr>
              <w:t xml:space="preserve">50 for same-slot scheduling, </w:t>
            </w:r>
          </w:p>
          <w:p w14:paraId="49AD26E6">
            <w:pPr>
              <w:widowControl w:val="0"/>
              <w:spacing w:line="231" w:lineRule="atLeast"/>
              <w:jc w:val="center"/>
              <w:rPr>
                <w:sz w:val="20"/>
                <w:szCs w:val="20"/>
              </w:rPr>
            </w:pPr>
            <w:r>
              <w:rPr>
                <w:sz w:val="20"/>
                <w:szCs w:val="20"/>
              </w:rPr>
              <w:t>40 for cross-slot scheduling</w:t>
            </w:r>
          </w:p>
        </w:tc>
      </w:tr>
      <w:tr w14:paraId="0C4A0576">
        <w:trPr>
          <w:trHeight w:val="17" w:hRule="atLeast"/>
          <w:jc w:val="center"/>
        </w:trPr>
        <w:tc>
          <w:tcPr>
            <w:tcW w:w="3030" w:type="dxa"/>
          </w:tcPr>
          <w:p w14:paraId="0A7B4A0C">
            <w:pPr>
              <w:widowControl w:val="0"/>
              <w:spacing w:line="231" w:lineRule="atLeast"/>
              <w:jc w:val="center"/>
              <w:rPr>
                <w:sz w:val="20"/>
                <w:szCs w:val="20"/>
              </w:rPr>
            </w:pPr>
            <w:r>
              <w:rPr>
                <w:sz w:val="20"/>
                <w:szCs w:val="20"/>
              </w:rPr>
              <w:t>PDCCH + PDSCH (P</w:t>
            </w:r>
            <w:r>
              <w:rPr>
                <w:sz w:val="20"/>
                <w:szCs w:val="20"/>
                <w:vertAlign w:val="subscript"/>
              </w:rPr>
              <w:t>PDCCH+PDSCH</w:t>
            </w:r>
            <w:r>
              <w:rPr>
                <w:sz w:val="20"/>
                <w:szCs w:val="20"/>
              </w:rPr>
              <w:t>)</w:t>
            </w:r>
          </w:p>
        </w:tc>
        <w:tc>
          <w:tcPr>
            <w:tcW w:w="6184" w:type="dxa"/>
          </w:tcPr>
          <w:p w14:paraId="36D45EEA">
            <w:pPr>
              <w:widowControl w:val="0"/>
              <w:spacing w:line="231" w:lineRule="atLeast"/>
              <w:jc w:val="center"/>
              <w:rPr>
                <w:sz w:val="20"/>
                <w:szCs w:val="20"/>
              </w:rPr>
            </w:pPr>
            <w:r>
              <w:rPr>
                <w:sz w:val="20"/>
                <w:szCs w:val="20"/>
              </w:rPr>
              <w:t>120</w:t>
            </w:r>
          </w:p>
        </w:tc>
      </w:tr>
      <w:tr w14:paraId="0A547906">
        <w:trPr>
          <w:trHeight w:val="17" w:hRule="atLeast"/>
          <w:jc w:val="center"/>
        </w:trPr>
        <w:tc>
          <w:tcPr>
            <w:tcW w:w="3030" w:type="dxa"/>
          </w:tcPr>
          <w:p w14:paraId="0EC03A2A">
            <w:pPr>
              <w:widowControl w:val="0"/>
              <w:spacing w:line="231" w:lineRule="atLeast"/>
              <w:jc w:val="center"/>
              <w:rPr>
                <w:sz w:val="20"/>
                <w:szCs w:val="20"/>
              </w:rPr>
            </w:pPr>
            <w:r>
              <w:rPr>
                <w:sz w:val="20"/>
                <w:szCs w:val="20"/>
              </w:rPr>
              <w:t>PDSCH-only (P</w:t>
            </w:r>
            <w:r>
              <w:rPr>
                <w:sz w:val="20"/>
                <w:szCs w:val="20"/>
                <w:vertAlign w:val="subscript"/>
              </w:rPr>
              <w:t>PDSCH</w:t>
            </w:r>
            <w:r>
              <w:rPr>
                <w:sz w:val="20"/>
                <w:szCs w:val="20"/>
              </w:rPr>
              <w:t>)</w:t>
            </w:r>
          </w:p>
        </w:tc>
        <w:tc>
          <w:tcPr>
            <w:tcW w:w="6184" w:type="dxa"/>
          </w:tcPr>
          <w:p w14:paraId="7F841CDE">
            <w:pPr>
              <w:widowControl w:val="0"/>
              <w:spacing w:line="231" w:lineRule="atLeast"/>
              <w:jc w:val="center"/>
              <w:rPr>
                <w:sz w:val="20"/>
                <w:szCs w:val="20"/>
              </w:rPr>
            </w:pPr>
            <w:r>
              <w:rPr>
                <w:sz w:val="20"/>
                <w:szCs w:val="20"/>
              </w:rPr>
              <w:t>112</w:t>
            </w:r>
          </w:p>
        </w:tc>
      </w:tr>
      <w:tr w14:paraId="2529E5F6">
        <w:trPr>
          <w:trHeight w:val="17" w:hRule="atLeast"/>
          <w:jc w:val="center"/>
        </w:trPr>
        <w:tc>
          <w:tcPr>
            <w:tcW w:w="3030" w:type="dxa"/>
          </w:tcPr>
          <w:p w14:paraId="65B37EC5">
            <w:pPr>
              <w:widowControl w:val="0"/>
              <w:spacing w:line="231" w:lineRule="atLeast"/>
              <w:jc w:val="center"/>
              <w:rPr>
                <w:sz w:val="20"/>
                <w:szCs w:val="20"/>
              </w:rPr>
            </w:pPr>
            <w:r>
              <w:rPr>
                <w:sz w:val="20"/>
                <w:szCs w:val="20"/>
              </w:rPr>
              <w:t>SSB/CSI-RS proc. (P</w:t>
            </w:r>
            <w:r>
              <w:rPr>
                <w:sz w:val="20"/>
                <w:szCs w:val="20"/>
                <w:vertAlign w:val="subscript"/>
              </w:rPr>
              <w:t>SSB</w:t>
            </w:r>
            <w:r>
              <w:rPr>
                <w:sz w:val="20"/>
                <w:szCs w:val="20"/>
              </w:rPr>
              <w:t>)</w:t>
            </w:r>
          </w:p>
        </w:tc>
        <w:tc>
          <w:tcPr>
            <w:tcW w:w="6184" w:type="dxa"/>
          </w:tcPr>
          <w:p w14:paraId="3213301F">
            <w:pPr>
              <w:widowControl w:val="0"/>
              <w:spacing w:line="231" w:lineRule="atLeast"/>
              <w:jc w:val="center"/>
              <w:rPr>
                <w:sz w:val="20"/>
                <w:szCs w:val="20"/>
              </w:rPr>
            </w:pPr>
            <w:r>
              <w:rPr>
                <w:sz w:val="20"/>
                <w:szCs w:val="20"/>
              </w:rPr>
              <w:t>50</w:t>
            </w:r>
          </w:p>
        </w:tc>
      </w:tr>
      <w:tr w14:paraId="0E5D55E9">
        <w:trPr>
          <w:trHeight w:val="17" w:hRule="atLeast"/>
          <w:jc w:val="center"/>
        </w:trPr>
        <w:tc>
          <w:tcPr>
            <w:tcW w:w="3030" w:type="dxa"/>
          </w:tcPr>
          <w:p w14:paraId="5367D9E5">
            <w:pPr>
              <w:widowControl w:val="0"/>
              <w:spacing w:line="231" w:lineRule="atLeast"/>
              <w:jc w:val="center"/>
              <w:rPr>
                <w:sz w:val="20"/>
                <w:szCs w:val="20"/>
              </w:rPr>
            </w:pPr>
            <w:r>
              <w:rPr>
                <w:sz w:val="20"/>
                <w:szCs w:val="20"/>
              </w:rPr>
              <w:t>Intra-frequency RRM measurement (P</w:t>
            </w:r>
            <w:r>
              <w:rPr>
                <w:sz w:val="20"/>
                <w:szCs w:val="20"/>
                <w:vertAlign w:val="subscript"/>
              </w:rPr>
              <w:t>intra</w:t>
            </w:r>
            <w:r>
              <w:rPr>
                <w:sz w:val="20"/>
                <w:szCs w:val="20"/>
              </w:rPr>
              <w:t>)</w:t>
            </w:r>
          </w:p>
        </w:tc>
        <w:tc>
          <w:tcPr>
            <w:tcW w:w="6184" w:type="dxa"/>
          </w:tcPr>
          <w:p w14:paraId="521F03A0">
            <w:pPr>
              <w:widowControl w:val="0"/>
              <w:spacing w:line="231" w:lineRule="atLeast"/>
              <w:ind w:left="360" w:hanging="360"/>
              <w:jc w:val="center"/>
              <w:rPr>
                <w:sz w:val="20"/>
                <w:szCs w:val="20"/>
              </w:rPr>
            </w:pPr>
            <w:r>
              <w:rPr>
                <w:rStyle w:val="67"/>
                <w:sz w:val="20"/>
                <w:szCs w:val="20"/>
              </w:rPr>
              <w:t>[</w:t>
            </w:r>
            <w:r>
              <w:rPr>
                <w:sz w:val="20"/>
                <w:szCs w:val="20"/>
              </w:rPr>
              <w:t>60] (synchronous case, N=8, measurement only)</w:t>
            </w:r>
          </w:p>
          <w:p w14:paraId="0ADAFE60">
            <w:pPr>
              <w:widowControl w:val="0"/>
              <w:spacing w:line="231" w:lineRule="atLeast"/>
              <w:ind w:left="360" w:hanging="360"/>
              <w:jc w:val="center"/>
              <w:rPr>
                <w:sz w:val="20"/>
                <w:szCs w:val="20"/>
              </w:rPr>
            </w:pPr>
            <w:r>
              <w:rPr>
                <w:rStyle w:val="67"/>
                <w:sz w:val="20"/>
                <w:szCs w:val="20"/>
              </w:rPr>
              <w:t>[</w:t>
            </w:r>
            <w:r>
              <w:rPr>
                <w:sz w:val="20"/>
                <w:szCs w:val="20"/>
              </w:rPr>
              <w:t>80]</w:t>
            </w:r>
            <w:r>
              <w:rPr>
                <w:rStyle w:val="67"/>
                <w:sz w:val="20"/>
                <w:szCs w:val="20"/>
                <w:vertAlign w:val="superscript"/>
              </w:rPr>
              <w:t> </w:t>
            </w:r>
            <w:r>
              <w:rPr>
                <w:sz w:val="20"/>
                <w:szCs w:val="20"/>
              </w:rPr>
              <w:t>(combined measurement and search)</w:t>
            </w:r>
          </w:p>
        </w:tc>
      </w:tr>
      <w:tr w14:paraId="066E1260">
        <w:trPr>
          <w:trHeight w:val="17" w:hRule="atLeast"/>
          <w:jc w:val="center"/>
        </w:trPr>
        <w:tc>
          <w:tcPr>
            <w:tcW w:w="3030" w:type="dxa"/>
          </w:tcPr>
          <w:p w14:paraId="2DB5857E">
            <w:pPr>
              <w:widowControl w:val="0"/>
              <w:spacing w:line="231" w:lineRule="atLeast"/>
              <w:jc w:val="center"/>
              <w:rPr>
                <w:sz w:val="20"/>
                <w:szCs w:val="20"/>
              </w:rPr>
            </w:pPr>
            <w:r>
              <w:rPr>
                <w:sz w:val="20"/>
                <w:szCs w:val="20"/>
              </w:rPr>
              <w:t>Inter-frequency RRM measurement (P</w:t>
            </w:r>
            <w:r>
              <w:rPr>
                <w:sz w:val="20"/>
                <w:szCs w:val="20"/>
                <w:vertAlign w:val="subscript"/>
              </w:rPr>
              <w:t>inter</w:t>
            </w:r>
            <w:r>
              <w:rPr>
                <w:sz w:val="20"/>
                <w:szCs w:val="20"/>
              </w:rPr>
              <w:t>)</w:t>
            </w:r>
          </w:p>
        </w:tc>
        <w:tc>
          <w:tcPr>
            <w:tcW w:w="6184" w:type="dxa"/>
          </w:tcPr>
          <w:p w14:paraId="27CEEEF1">
            <w:pPr>
              <w:widowControl w:val="0"/>
              <w:spacing w:line="231" w:lineRule="atLeast"/>
              <w:ind w:left="360" w:hanging="360"/>
              <w:jc w:val="center"/>
              <w:rPr>
                <w:sz w:val="20"/>
                <w:szCs w:val="20"/>
              </w:rPr>
            </w:pPr>
            <w:r>
              <w:rPr>
                <w:sz w:val="20"/>
                <w:szCs w:val="20"/>
              </w:rPr>
              <w:t>[60]</w:t>
            </w:r>
            <w:r>
              <w:rPr>
                <w:rStyle w:val="67"/>
                <w:sz w:val="20"/>
                <w:szCs w:val="20"/>
                <w:vertAlign w:val="superscript"/>
              </w:rPr>
              <w:t> </w:t>
            </w:r>
            <w:r>
              <w:rPr>
                <w:sz w:val="20"/>
                <w:szCs w:val="20"/>
              </w:rPr>
              <w:t>(neighbor cell search power per freq. layer)</w:t>
            </w:r>
          </w:p>
          <w:p w14:paraId="48B167EB">
            <w:pPr>
              <w:widowControl w:val="0"/>
              <w:spacing w:line="231" w:lineRule="atLeast"/>
              <w:ind w:left="360" w:hanging="360"/>
              <w:jc w:val="center"/>
              <w:rPr>
                <w:sz w:val="20"/>
                <w:szCs w:val="20"/>
              </w:rPr>
            </w:pPr>
            <w:r>
              <w:rPr>
                <w:sz w:val="20"/>
                <w:szCs w:val="20"/>
              </w:rPr>
              <w:t>[80]</w:t>
            </w:r>
            <w:r>
              <w:rPr>
                <w:rStyle w:val="67"/>
                <w:sz w:val="20"/>
                <w:szCs w:val="20"/>
              </w:rPr>
              <w:t> </w:t>
            </w:r>
            <w:r>
              <w:rPr>
                <w:sz w:val="20"/>
                <w:szCs w:val="20"/>
              </w:rPr>
              <w:t>(measurement only per freq. layer)</w:t>
            </w:r>
          </w:p>
          <w:p w14:paraId="58EC9071">
            <w:pPr>
              <w:widowControl w:val="0"/>
              <w:spacing w:line="231" w:lineRule="atLeast"/>
              <w:ind w:left="360" w:hanging="360"/>
              <w:jc w:val="center"/>
              <w:rPr>
                <w:sz w:val="20"/>
                <w:szCs w:val="20"/>
              </w:rPr>
            </w:pPr>
            <w:r>
              <w:rPr>
                <w:sz w:val="20"/>
                <w:szCs w:val="20"/>
              </w:rPr>
              <w:t>Micro sleep power assumed for switch in/out a freq. layer</w:t>
            </w:r>
          </w:p>
        </w:tc>
      </w:tr>
      <w:tr w14:paraId="36D46F67">
        <w:trPr>
          <w:trHeight w:val="17" w:hRule="atLeast"/>
          <w:jc w:val="center"/>
        </w:trPr>
        <w:tc>
          <w:tcPr>
            <w:tcW w:w="9214" w:type="dxa"/>
            <w:gridSpan w:val="2"/>
          </w:tcPr>
          <w:p w14:paraId="47C39FC0">
            <w:pPr>
              <w:widowControl w:val="0"/>
              <w:rPr>
                <w:sz w:val="20"/>
                <w:szCs w:val="20"/>
              </w:rPr>
            </w:pPr>
            <w:r>
              <w:rPr>
                <w:sz w:val="20"/>
                <w:szCs w:val="20"/>
              </w:rPr>
              <w:t>Note: 2 Rx is assumed</w:t>
            </w:r>
          </w:p>
        </w:tc>
      </w:tr>
    </w:tbl>
    <w:p w14:paraId="0E439CBA">
      <w:pPr>
        <w:pStyle w:val="5"/>
      </w:pPr>
    </w:p>
    <w:p w14:paraId="51B541B8">
      <w:pPr>
        <w:pStyle w:val="5"/>
        <w:rPr>
          <w:rFonts w:hint="default" w:ascii="Times New Roman Bold Italic" w:hAnsi="Times New Roman Bold Italic" w:cs="Times New Roman Bold Italic"/>
          <w:b/>
          <w:bCs/>
          <w:i/>
          <w:iCs/>
          <w:sz w:val="22"/>
          <w:szCs w:val="22"/>
          <w:lang w:eastAsia="zh-CN"/>
        </w:rPr>
      </w:pPr>
      <w:r>
        <w:rPr>
          <w:rFonts w:hint="default" w:ascii="Times New Roman Bold Italic" w:hAnsi="Times New Roman Bold Italic" w:cs="Times New Roman Bold Italic"/>
          <w:b/>
          <w:bCs/>
          <w:i/>
          <w:iCs/>
          <w:sz w:val="22"/>
          <w:szCs w:val="22"/>
          <w:lang w:eastAsia="zh-CN"/>
        </w:rPr>
        <w:t xml:space="preserve">Proposal </w:t>
      </w:r>
      <w:r>
        <w:rPr>
          <w:rFonts w:hint="default" w:ascii="Times New Roman Bold Italic" w:hAnsi="Times New Roman Bold Italic" w:cs="Times New Roman Bold Italic"/>
          <w:b/>
          <w:bCs/>
          <w:i/>
          <w:iCs/>
          <w:sz w:val="22"/>
          <w:szCs w:val="22"/>
          <w:lang w:val="en-US" w:eastAsia="zh-CN"/>
        </w:rPr>
        <w:t>1</w:t>
      </w:r>
      <w:r>
        <w:rPr>
          <w:rFonts w:hint="eastAsia" w:ascii="Times New Roman Bold Italic" w:hAnsi="Times New Roman Bold Italic" w:cs="Times New Roman Bold Italic"/>
          <w:b/>
          <w:bCs/>
          <w:i/>
          <w:iCs/>
          <w:sz w:val="22"/>
          <w:szCs w:val="22"/>
          <w:lang w:val="en-US" w:eastAsia="zh-CN"/>
        </w:rPr>
        <w:t>6</w:t>
      </w:r>
      <w:r>
        <w:rPr>
          <w:rFonts w:hint="default" w:ascii="Times New Roman Bold Italic" w:hAnsi="Times New Roman Bold Italic" w:cs="Times New Roman Bold Italic"/>
          <w:b/>
          <w:bCs/>
          <w:i/>
          <w:iCs/>
          <w:sz w:val="22"/>
          <w:szCs w:val="22"/>
          <w:lang w:eastAsia="zh-CN"/>
        </w:rPr>
        <w:t xml:space="preserve">: Support different power models for diverse device types considering different capabilities of RF chains, bandwidth and other </w:t>
      </w:r>
      <w:r>
        <w:rPr>
          <w:rFonts w:hint="eastAsia" w:ascii="Times New Roman Bold Italic" w:hAnsi="Times New Roman Bold Italic" w:cs="Times New Roman Bold Italic"/>
          <w:b/>
          <w:bCs/>
          <w:i/>
          <w:iCs/>
          <w:sz w:val="22"/>
          <w:szCs w:val="22"/>
          <w:lang w:val="en-US" w:eastAsia="zh-CN"/>
        </w:rPr>
        <w:t>aspects</w:t>
      </w:r>
      <w:r>
        <w:rPr>
          <w:rFonts w:hint="default" w:ascii="Times New Roman Bold Italic" w:hAnsi="Times New Roman Bold Italic" w:cs="Times New Roman Bold Italic"/>
          <w:b/>
          <w:bCs/>
          <w:i/>
          <w:iCs/>
          <w:sz w:val="22"/>
          <w:szCs w:val="22"/>
          <w:lang w:eastAsia="zh-CN"/>
        </w:rPr>
        <w:t>.</w:t>
      </w:r>
    </w:p>
    <w:p w14:paraId="03960BC5">
      <w:pPr>
        <w:pStyle w:val="5"/>
      </w:pPr>
    </w:p>
    <w:p w14:paraId="54C8B6EC">
      <w:pPr>
        <w:pStyle w:val="4"/>
        <w:numPr>
          <w:ilvl w:val="2"/>
          <w:numId w:val="0"/>
        </w:numPr>
        <w:tabs>
          <w:tab w:val="clear" w:pos="432"/>
          <w:tab w:val="clear" w:pos="720"/>
        </w:tabs>
        <w:rPr>
          <w:lang w:eastAsia="zh-CN"/>
        </w:rPr>
      </w:pPr>
      <w:r>
        <w:rPr>
          <w:lang w:eastAsia="zh-CN"/>
        </w:rPr>
        <w:t>4</w:t>
      </w:r>
      <w:r>
        <w:rPr>
          <w:rFonts w:hint="eastAsia"/>
          <w:lang w:eastAsia="zh-CN"/>
        </w:rPr>
        <w:t>.2.</w:t>
      </w:r>
      <w:r>
        <w:rPr>
          <w:lang w:eastAsia="zh-CN"/>
        </w:rPr>
        <w:t>3 Power scaling for adaptations</w:t>
      </w:r>
    </w:p>
    <w:p w14:paraId="64DF5F86">
      <w:pPr>
        <w:pStyle w:val="5"/>
        <w:rPr>
          <w:sz w:val="22"/>
          <w:szCs w:val="22"/>
        </w:rPr>
      </w:pPr>
      <w:r>
        <w:rPr>
          <w:rFonts w:hint="eastAsia"/>
          <w:sz w:val="22"/>
          <w:szCs w:val="22"/>
          <w:lang w:eastAsia="zh-CN"/>
        </w:rPr>
        <w:t>F</w:t>
      </w:r>
      <w:r>
        <w:rPr>
          <w:sz w:val="22"/>
          <w:szCs w:val="22"/>
          <w:lang w:eastAsia="zh-CN"/>
        </w:rPr>
        <w:t>or each power state, the total relative power includes</w:t>
      </w:r>
      <w:r>
        <w:rPr>
          <w:sz w:val="22"/>
          <w:szCs w:val="22"/>
        </w:rPr>
        <w:t xml:space="preserve"> two parts as following, in which </w:t>
      </w:r>
      <m:oMath>
        <m:sSub>
          <m:sSubPr>
            <m:ctrlPr>
              <w:rPr>
                <w:rFonts w:ascii="Cambria Math" w:hAnsi="Cambria Math"/>
                <w:i/>
                <w:sz w:val="22"/>
                <w:szCs w:val="22"/>
                <w:lang w:eastAsia="zh-CN"/>
              </w:rPr>
            </m:ctrlPr>
          </m:sSubPr>
          <m:e>
            <m:r>
              <m:rPr/>
              <w:rPr>
                <w:rFonts w:ascii="Cambria Math" w:hAnsi="Cambria Math"/>
                <w:sz w:val="22"/>
                <w:szCs w:val="22"/>
                <w:lang w:eastAsia="zh-CN"/>
              </w:rPr>
              <m:t>P</m:t>
            </m:r>
            <m:ctrlPr>
              <w:rPr>
                <w:rFonts w:ascii="Cambria Math" w:hAnsi="Cambria Math"/>
                <w:i/>
                <w:sz w:val="22"/>
                <w:szCs w:val="22"/>
                <w:lang w:eastAsia="zh-CN"/>
              </w:rPr>
            </m:ctrlPr>
          </m:e>
          <m:sub>
            <m:r>
              <m:rPr/>
              <w:rPr>
                <w:rFonts w:ascii="Cambria Math" w:hAnsi="Cambria Math"/>
                <w:sz w:val="22"/>
                <w:szCs w:val="22"/>
                <w:lang w:eastAsia="zh-CN"/>
              </w:rPr>
              <m:t>RF</m:t>
            </m:r>
            <m:ctrlPr>
              <w:rPr>
                <w:rFonts w:ascii="Cambria Math" w:hAnsi="Cambria Math"/>
                <w:i/>
                <w:sz w:val="22"/>
                <w:szCs w:val="22"/>
                <w:lang w:eastAsia="zh-CN"/>
              </w:rPr>
            </m:ctrlPr>
          </m:sub>
        </m:sSub>
      </m:oMath>
      <w:r>
        <w:rPr>
          <w:rFonts w:hint="eastAsia"/>
          <w:sz w:val="22"/>
          <w:szCs w:val="22"/>
          <w:lang w:eastAsia="zh-CN"/>
        </w:rPr>
        <w:t xml:space="preserve"> </w:t>
      </w:r>
      <w:r>
        <w:rPr>
          <w:sz w:val="22"/>
          <w:szCs w:val="22"/>
          <w:lang w:eastAsia="zh-CN"/>
        </w:rPr>
        <w:t>denotes the power of RF</w:t>
      </w:r>
      <w:r>
        <w:rPr>
          <w:sz w:val="22"/>
          <w:szCs w:val="22"/>
        </w:rPr>
        <w:t xml:space="preserve"> portion and </w:t>
      </w:r>
      <m:oMath>
        <m:sSub>
          <m:sSubPr>
            <m:ctrlPr>
              <w:rPr>
                <w:rFonts w:ascii="Cambria Math" w:hAnsi="Cambria Math"/>
                <w:i/>
                <w:sz w:val="22"/>
                <w:szCs w:val="22"/>
                <w:lang w:eastAsia="zh-CN"/>
              </w:rPr>
            </m:ctrlPr>
          </m:sSubPr>
          <m:e>
            <m:r>
              <m:rPr/>
              <w:rPr>
                <w:rFonts w:ascii="Cambria Math" w:hAnsi="Cambria Math"/>
                <w:sz w:val="22"/>
                <w:szCs w:val="22"/>
                <w:lang w:eastAsia="zh-CN"/>
              </w:rPr>
              <m:t>P</m:t>
            </m:r>
            <m:ctrlPr>
              <w:rPr>
                <w:rFonts w:ascii="Cambria Math" w:hAnsi="Cambria Math"/>
                <w:i/>
                <w:sz w:val="22"/>
                <w:szCs w:val="22"/>
                <w:lang w:eastAsia="zh-CN"/>
              </w:rPr>
            </m:ctrlPr>
          </m:e>
          <m:sub>
            <m:r>
              <m:rPr/>
              <w:rPr>
                <w:rFonts w:ascii="Cambria Math" w:hAnsi="Cambria Math"/>
                <w:sz w:val="22"/>
                <w:szCs w:val="22"/>
                <w:lang w:eastAsia="zh-CN"/>
              </w:rPr>
              <m:t>BB</m:t>
            </m:r>
            <m:ctrlPr>
              <w:rPr>
                <w:rFonts w:ascii="Cambria Math" w:hAnsi="Cambria Math"/>
                <w:i/>
                <w:sz w:val="22"/>
                <w:szCs w:val="22"/>
                <w:lang w:eastAsia="zh-CN"/>
              </w:rPr>
            </m:ctrlPr>
          </m:sub>
        </m:sSub>
      </m:oMath>
      <w:r>
        <w:rPr>
          <w:rFonts w:hint="eastAsia"/>
          <w:sz w:val="22"/>
          <w:szCs w:val="22"/>
          <w:lang w:eastAsia="zh-CN"/>
        </w:rPr>
        <w:t xml:space="preserve"> </w:t>
      </w:r>
      <w:r>
        <w:rPr>
          <w:sz w:val="22"/>
          <w:szCs w:val="22"/>
          <w:lang w:eastAsia="zh-CN"/>
        </w:rPr>
        <w:t xml:space="preserve">denotes the power of BB </w:t>
      </w:r>
      <w:r>
        <w:rPr>
          <w:sz w:val="22"/>
          <w:szCs w:val="22"/>
        </w:rPr>
        <w:t>portion:</w:t>
      </w:r>
    </w:p>
    <w:p w14:paraId="68607650">
      <w:pPr>
        <w:pStyle w:val="5"/>
        <w:rPr>
          <w:sz w:val="22"/>
          <w:szCs w:val="22"/>
          <w:lang w:eastAsia="zh-CN"/>
        </w:rPr>
      </w:pPr>
      <m:oMathPara>
        <m:oMath>
          <m:r>
            <m:rPr/>
            <w:rPr>
              <w:rFonts w:ascii="Cambria Math" w:hAnsi="Cambria Math"/>
              <w:sz w:val="22"/>
              <w:szCs w:val="22"/>
              <w:lang w:eastAsia="zh-CN"/>
            </w:rPr>
            <m:t>P=</m:t>
          </m:r>
          <m:sSub>
            <m:sSubPr>
              <m:ctrlPr>
                <w:rPr>
                  <w:rFonts w:ascii="Cambria Math" w:hAnsi="Cambria Math"/>
                  <w:i/>
                  <w:sz w:val="22"/>
                  <w:szCs w:val="22"/>
                  <w:lang w:eastAsia="zh-CN"/>
                </w:rPr>
              </m:ctrlPr>
            </m:sSubPr>
            <m:e>
              <m:r>
                <m:rPr/>
                <w:rPr>
                  <w:rFonts w:ascii="Cambria Math" w:hAnsi="Cambria Math"/>
                  <w:sz w:val="22"/>
                  <w:szCs w:val="22"/>
                  <w:lang w:eastAsia="zh-CN"/>
                </w:rPr>
                <m:t>P</m:t>
              </m:r>
              <m:ctrlPr>
                <w:rPr>
                  <w:rFonts w:ascii="Cambria Math" w:hAnsi="Cambria Math"/>
                  <w:i/>
                  <w:sz w:val="22"/>
                  <w:szCs w:val="22"/>
                  <w:lang w:eastAsia="zh-CN"/>
                </w:rPr>
              </m:ctrlPr>
            </m:e>
            <m:sub>
              <m:r>
                <m:rPr/>
                <w:rPr>
                  <w:rFonts w:ascii="Cambria Math" w:hAnsi="Cambria Math"/>
                  <w:sz w:val="22"/>
                  <w:szCs w:val="22"/>
                  <w:lang w:eastAsia="zh-CN"/>
                </w:rPr>
                <m:t>RF</m:t>
              </m:r>
              <m:ctrlPr>
                <w:rPr>
                  <w:rFonts w:ascii="Cambria Math" w:hAnsi="Cambria Math"/>
                  <w:i/>
                  <w:sz w:val="22"/>
                  <w:szCs w:val="22"/>
                  <w:lang w:eastAsia="zh-CN"/>
                </w:rPr>
              </m:ctrlPr>
            </m:sub>
          </m:sSub>
          <m:r>
            <m:rPr/>
            <w:rPr>
              <w:rFonts w:ascii="Cambria Math" w:hAnsi="Cambria Math"/>
              <w:sz w:val="22"/>
              <w:szCs w:val="22"/>
              <w:lang w:eastAsia="zh-CN"/>
            </w:rPr>
            <m:t>+</m:t>
          </m:r>
          <m:sSub>
            <m:sSubPr>
              <m:ctrlPr>
                <w:rPr>
                  <w:rFonts w:ascii="Cambria Math" w:hAnsi="Cambria Math"/>
                  <w:i/>
                  <w:sz w:val="22"/>
                  <w:szCs w:val="22"/>
                  <w:lang w:eastAsia="zh-CN"/>
                </w:rPr>
              </m:ctrlPr>
            </m:sSubPr>
            <m:e>
              <m:r>
                <m:rPr/>
                <w:rPr>
                  <w:rFonts w:ascii="Cambria Math" w:hAnsi="Cambria Math"/>
                  <w:sz w:val="22"/>
                  <w:szCs w:val="22"/>
                  <w:lang w:eastAsia="zh-CN"/>
                </w:rPr>
                <m:t>P</m:t>
              </m:r>
              <m:ctrlPr>
                <w:rPr>
                  <w:rFonts w:ascii="Cambria Math" w:hAnsi="Cambria Math"/>
                  <w:i/>
                  <w:sz w:val="22"/>
                  <w:szCs w:val="22"/>
                  <w:lang w:eastAsia="zh-CN"/>
                </w:rPr>
              </m:ctrlPr>
            </m:e>
            <m:sub>
              <m:r>
                <m:rPr/>
                <w:rPr>
                  <w:rFonts w:ascii="Cambria Math" w:hAnsi="Cambria Math"/>
                  <w:sz w:val="22"/>
                  <w:szCs w:val="22"/>
                  <w:lang w:eastAsia="zh-CN"/>
                </w:rPr>
                <m:t>BB</m:t>
              </m:r>
              <m:ctrlPr>
                <w:rPr>
                  <w:rFonts w:ascii="Cambria Math" w:hAnsi="Cambria Math"/>
                  <w:i/>
                  <w:sz w:val="22"/>
                  <w:szCs w:val="22"/>
                  <w:lang w:eastAsia="zh-CN"/>
                </w:rPr>
              </m:ctrlPr>
            </m:sub>
          </m:sSub>
        </m:oMath>
      </m:oMathPara>
    </w:p>
    <w:p w14:paraId="76B57428">
      <w:pPr>
        <w:pStyle w:val="5"/>
        <w:rPr>
          <w:sz w:val="22"/>
          <w:szCs w:val="22"/>
          <w:lang w:eastAsia="zh-CN"/>
        </w:rPr>
      </w:pPr>
      <w:r>
        <w:rPr>
          <w:sz w:val="22"/>
          <w:szCs w:val="22"/>
          <w:lang w:eastAsia="zh-CN"/>
        </w:rPr>
        <w:t>Hence, when we discuss the power scaling rules, the impact of RF</w:t>
      </w:r>
      <w:r>
        <w:rPr>
          <w:sz w:val="22"/>
          <w:szCs w:val="22"/>
        </w:rPr>
        <w:t xml:space="preserve"> portion and </w:t>
      </w:r>
      <w:r>
        <w:rPr>
          <w:sz w:val="22"/>
          <w:szCs w:val="22"/>
          <w:lang w:eastAsia="zh-CN"/>
        </w:rPr>
        <w:t xml:space="preserve">BB </w:t>
      </w:r>
      <w:r>
        <w:rPr>
          <w:sz w:val="22"/>
          <w:szCs w:val="22"/>
        </w:rPr>
        <w:t xml:space="preserve">portion should be considered separately. The power scaling rules defined in TR38.840 can be </w:t>
      </w:r>
      <w:r>
        <w:rPr>
          <w:sz w:val="22"/>
          <w:szCs w:val="22"/>
          <w:lang w:eastAsia="zh-CN"/>
        </w:rPr>
        <w:t xml:space="preserve">used as the starting point for 6GR, which is shown in </w:t>
      </w:r>
      <w:r>
        <w:rPr>
          <w:sz w:val="22"/>
          <w:szCs w:val="22"/>
          <w:highlight w:val="none"/>
          <w:lang w:eastAsia="zh-CN"/>
        </w:rPr>
        <w:t xml:space="preserve">Table </w:t>
      </w:r>
      <w:r>
        <w:rPr>
          <w:rFonts w:hint="eastAsia"/>
          <w:sz w:val="22"/>
          <w:szCs w:val="22"/>
          <w:highlight w:val="none"/>
          <w:lang w:val="en-US" w:eastAsia="zh-CN"/>
        </w:rPr>
        <w:t>9</w:t>
      </w:r>
      <w:r>
        <w:rPr>
          <w:sz w:val="22"/>
          <w:szCs w:val="22"/>
          <w:lang w:eastAsia="zh-CN"/>
        </w:rPr>
        <w:t>.</w:t>
      </w:r>
    </w:p>
    <w:p w14:paraId="774A362C">
      <w:pPr>
        <w:pStyle w:val="13"/>
        <w:rPr>
          <w:rFonts w:hint="default" w:ascii="Times New Roman Italic" w:hAnsi="Times New Roman Italic" w:cs="Times New Roman Italic"/>
          <w:b w:val="0"/>
          <w:bCs w:val="0"/>
          <w:i/>
          <w:iCs/>
          <w:highlight w:val="none"/>
          <w:lang w:eastAsia="zh-CN"/>
        </w:rPr>
      </w:pPr>
      <w:r>
        <w:rPr>
          <w:rFonts w:hint="default" w:ascii="Times New Roman Italic" w:hAnsi="Times New Roman Italic" w:cs="Times New Roman Italic"/>
          <w:b w:val="0"/>
          <w:bCs w:val="0"/>
          <w:i/>
          <w:iCs/>
          <w:highlight w:val="none"/>
        </w:rPr>
        <w:t xml:space="preserve">Table </w:t>
      </w:r>
      <w:r>
        <w:rPr>
          <w:rFonts w:hint="default" w:ascii="Times New Roman Italic" w:hAnsi="Times New Roman Italic" w:cs="Times New Roman Italic"/>
          <w:b w:val="0"/>
          <w:bCs w:val="0"/>
          <w:i/>
          <w:iCs/>
          <w:highlight w:val="none"/>
          <w:lang w:val="en-US" w:eastAsia="zh-CN"/>
        </w:rPr>
        <w:t>9</w:t>
      </w:r>
      <w:r>
        <w:rPr>
          <w:rFonts w:hint="default" w:ascii="Times New Roman Italic" w:hAnsi="Times New Roman Italic" w:cs="Times New Roman Italic"/>
          <w:b w:val="0"/>
          <w:bCs w:val="0"/>
          <w:i/>
          <w:iCs/>
          <w:highlight w:val="none"/>
        </w:rPr>
        <w:t xml:space="preserve"> Power scaling in TR38.840</w:t>
      </w:r>
    </w:p>
    <w:tbl>
      <w:tblPr>
        <w:tblStyle w:val="27"/>
        <w:tblW w:w="9214" w:type="dxa"/>
        <w:tblInd w:w="-10" w:type="dxa"/>
        <w:tblLayout w:type="autofit"/>
        <w:tblCellMar>
          <w:top w:w="0" w:type="dxa"/>
          <w:left w:w="0" w:type="dxa"/>
          <w:bottom w:w="0" w:type="dxa"/>
          <w:right w:w="0" w:type="dxa"/>
        </w:tblCellMar>
      </w:tblPr>
      <w:tblGrid>
        <w:gridCol w:w="1361"/>
        <w:gridCol w:w="4745"/>
        <w:gridCol w:w="3108"/>
      </w:tblGrid>
      <w:tr w14:paraId="15A3FD56">
        <w:trPr>
          <w:trHeight w:val="437" w:hRule="atLeast"/>
        </w:trPr>
        <w:tc>
          <w:tcPr>
            <w:tcW w:w="1256"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14:paraId="66529E28">
            <w:pPr>
              <w:rPr>
                <w:b/>
                <w:bCs/>
                <w:sz w:val="20"/>
                <w:szCs w:val="20"/>
              </w:rPr>
            </w:pPr>
            <w:r>
              <w:rPr>
                <w:b/>
                <w:bCs/>
                <w:sz w:val="20"/>
                <w:szCs w:val="20"/>
              </w:rPr>
              <w:t>Scaling factors</w:t>
            </w:r>
          </w:p>
        </w:tc>
        <w:tc>
          <w:tcPr>
            <w:tcW w:w="4826"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14:paraId="0A8A5514">
            <w:pPr>
              <w:pStyle w:val="77"/>
              <w:rPr>
                <w:rFonts w:ascii="Times New Roman" w:hAnsi="Times New Roman"/>
                <w:sz w:val="20"/>
              </w:rPr>
            </w:pPr>
            <w:r>
              <w:rPr>
                <w:rFonts w:ascii="Times New Roman" w:hAnsi="Times New Roman"/>
                <w:sz w:val="20"/>
              </w:rPr>
              <w:t>Proposal</w:t>
            </w:r>
          </w:p>
        </w:tc>
        <w:tc>
          <w:tcPr>
            <w:tcW w:w="3132"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14:paraId="77EE8CFF">
            <w:pPr>
              <w:pStyle w:val="77"/>
              <w:rPr>
                <w:rFonts w:ascii="Times New Roman" w:hAnsi="Times New Roman"/>
                <w:sz w:val="20"/>
              </w:rPr>
            </w:pPr>
            <w:r>
              <w:rPr>
                <w:rFonts w:ascii="Times New Roman" w:hAnsi="Times New Roman"/>
                <w:sz w:val="20"/>
              </w:rPr>
              <w:t>Comment</w:t>
            </w:r>
          </w:p>
        </w:tc>
      </w:tr>
      <w:tr w14:paraId="467DF337">
        <w:trPr>
          <w:trHeight w:val="20" w:hRule="atLeast"/>
        </w:trPr>
        <w:tc>
          <w:tcPr>
            <w:tcW w:w="1256"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14:paraId="4F3A98E5">
            <w:pPr>
              <w:rPr>
                <w:b/>
                <w:bCs/>
                <w:sz w:val="20"/>
                <w:szCs w:val="20"/>
              </w:rPr>
            </w:pPr>
            <w:r>
              <w:rPr>
                <w:b/>
                <w:bCs/>
                <w:sz w:val="20"/>
                <w:szCs w:val="20"/>
              </w:rPr>
              <w:t>BWP Bandwidth (DL)</w:t>
            </w:r>
          </w:p>
        </w:tc>
        <w:tc>
          <w:tcPr>
            <w:tcW w:w="4826"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14:paraId="16085C11">
            <w:pPr>
              <w:pStyle w:val="76"/>
              <w:rPr>
                <w:rFonts w:ascii="Times New Roman" w:hAnsi="Times New Roman"/>
                <w:sz w:val="20"/>
              </w:rPr>
            </w:pPr>
            <w:r>
              <w:rPr>
                <w:rFonts w:ascii="Times New Roman" w:hAnsi="Times New Roman"/>
                <w:sz w:val="20"/>
              </w:rPr>
              <w:t>Scaling of X MHz = 0.4 + 0.6 * (X - 20) / 80. Linear interpolation for intermediate bandwidths. Valid only for X = 10, 20, 40, 80, and 100.</w:t>
            </w:r>
          </w:p>
          <w:p w14:paraId="59C0A79B">
            <w:pPr>
              <w:pStyle w:val="76"/>
              <w:rPr>
                <w:rFonts w:ascii="Times New Roman" w:hAnsi="Times New Roman"/>
                <w:sz w:val="20"/>
              </w:rPr>
            </w:pPr>
            <w:r>
              <w:rPr>
                <w:rFonts w:ascii="Times New Roman" w:hAnsi="Times New Roman"/>
                <w:sz w:val="20"/>
              </w:rPr>
              <w:t>Above scaling is applicable for FR1 only.</w:t>
            </w:r>
          </w:p>
          <w:p w14:paraId="4EEABE53">
            <w:pPr>
              <w:pStyle w:val="76"/>
              <w:rPr>
                <w:rFonts w:ascii="Times New Roman" w:hAnsi="Times New Roman"/>
                <w:sz w:val="20"/>
              </w:rPr>
            </w:pPr>
            <w:r>
              <w:rPr>
                <w:rFonts w:ascii="Times New Roman" w:hAnsi="Times New Roman"/>
                <w:sz w:val="20"/>
              </w:rPr>
              <w:t>In case scaling is needed for FR2, companies can report the assumed scaling factor.</w:t>
            </w:r>
          </w:p>
        </w:tc>
        <w:tc>
          <w:tcPr>
            <w:tcW w:w="3132"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14:paraId="1E9447E7">
            <w:pPr>
              <w:pStyle w:val="76"/>
              <w:rPr>
                <w:rFonts w:ascii="Times New Roman" w:hAnsi="Times New Roman"/>
                <w:sz w:val="20"/>
              </w:rPr>
            </w:pPr>
            <w:r>
              <w:rPr>
                <w:rFonts w:ascii="Times New Roman" w:hAnsi="Times New Roman"/>
                <w:sz w:val="20"/>
              </w:rPr>
              <w:t>For 10MHz BW, only AL up to 8 can be used for PDCCH</w:t>
            </w:r>
          </w:p>
          <w:p w14:paraId="399722EA">
            <w:pPr>
              <w:pStyle w:val="76"/>
              <w:rPr>
                <w:rFonts w:ascii="Times New Roman" w:hAnsi="Times New Roman"/>
                <w:sz w:val="20"/>
              </w:rPr>
            </w:pPr>
            <w:r>
              <w:rPr>
                <w:rFonts w:ascii="Times New Roman" w:hAnsi="Times New Roman"/>
                <w:sz w:val="20"/>
              </w:rPr>
              <w:t>The transition time is the same as DCI-based BWP switching delay for Rel-15.</w:t>
            </w:r>
          </w:p>
          <w:p w14:paraId="7623351C">
            <w:pPr>
              <w:pStyle w:val="76"/>
              <w:rPr>
                <w:rFonts w:ascii="Times New Roman" w:hAnsi="Times New Roman"/>
                <w:sz w:val="20"/>
              </w:rPr>
            </w:pPr>
          </w:p>
          <w:p w14:paraId="3FB965AA">
            <w:pPr>
              <w:pStyle w:val="76"/>
              <w:rPr>
                <w:rFonts w:ascii="Times New Roman" w:hAnsi="Times New Roman"/>
                <w:sz w:val="20"/>
              </w:rPr>
            </w:pPr>
            <w:r>
              <w:rPr>
                <w:rFonts w:ascii="Times New Roman" w:hAnsi="Times New Roman"/>
                <w:sz w:val="20"/>
              </w:rPr>
              <w:t>If the power after scaling is smaller than the BWP transition power, assume the BWP transition power as the output of scaling unless otherwise justified.</w:t>
            </w:r>
          </w:p>
        </w:tc>
      </w:tr>
      <w:tr w14:paraId="368CA75B">
        <w:trPr>
          <w:trHeight w:val="20" w:hRule="atLeast"/>
        </w:trPr>
        <w:tc>
          <w:tcPr>
            <w:tcW w:w="1256"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14:paraId="68E85141">
            <w:pPr>
              <w:rPr>
                <w:b/>
                <w:bCs/>
                <w:sz w:val="20"/>
                <w:szCs w:val="20"/>
              </w:rPr>
            </w:pPr>
            <w:r>
              <w:rPr>
                <w:b/>
                <w:bCs/>
                <w:sz w:val="20"/>
                <w:szCs w:val="20"/>
              </w:rPr>
              <w:t>BWP Bandwidth (UL)</w:t>
            </w:r>
          </w:p>
        </w:tc>
        <w:tc>
          <w:tcPr>
            <w:tcW w:w="4826"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14:paraId="3382275F">
            <w:pPr>
              <w:pStyle w:val="76"/>
              <w:rPr>
                <w:rFonts w:ascii="Times New Roman" w:hAnsi="Times New Roman"/>
                <w:sz w:val="20"/>
              </w:rPr>
            </w:pPr>
            <w:r>
              <w:rPr>
                <w:rFonts w:ascii="Times New Roman" w:hAnsi="Times New Roman"/>
                <w:sz w:val="20"/>
              </w:rPr>
              <w:t>No scaling at 0dBm or 23dBm</w:t>
            </w:r>
          </w:p>
          <w:p w14:paraId="232D2B8C">
            <w:pPr>
              <w:pStyle w:val="76"/>
              <w:rPr>
                <w:rFonts w:ascii="Times New Roman" w:hAnsi="Times New Roman"/>
                <w:sz w:val="20"/>
              </w:rPr>
            </w:pPr>
            <w:r>
              <w:rPr>
                <w:rFonts w:ascii="Times New Roman" w:hAnsi="Times New Roman"/>
                <w:sz w:val="20"/>
              </w:rPr>
              <w:t>Above scaling is applicable for FR1 only.</w:t>
            </w:r>
          </w:p>
          <w:p w14:paraId="16EC7101">
            <w:pPr>
              <w:pStyle w:val="76"/>
              <w:rPr>
                <w:rFonts w:ascii="Times New Roman" w:hAnsi="Times New Roman"/>
                <w:sz w:val="20"/>
              </w:rPr>
            </w:pPr>
            <w:r>
              <w:rPr>
                <w:rFonts w:ascii="Times New Roman" w:hAnsi="Times New Roman"/>
                <w:sz w:val="20"/>
              </w:rPr>
              <w:t>In case scaling is needed for FR2, companies can report the assumed scaling factor.</w:t>
            </w:r>
          </w:p>
        </w:tc>
        <w:tc>
          <w:tcPr>
            <w:tcW w:w="3132"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14:paraId="07B7F05C">
            <w:pPr>
              <w:pStyle w:val="76"/>
              <w:rPr>
                <w:rFonts w:ascii="Times New Roman" w:hAnsi="Times New Roman"/>
                <w:sz w:val="20"/>
              </w:rPr>
            </w:pPr>
          </w:p>
        </w:tc>
      </w:tr>
      <w:tr w14:paraId="534D59F6">
        <w:trPr>
          <w:trHeight w:val="20" w:hRule="atLeast"/>
        </w:trPr>
        <w:tc>
          <w:tcPr>
            <w:tcW w:w="1256"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14:paraId="4CFD0ECC">
            <w:pPr>
              <w:rPr>
                <w:b/>
                <w:bCs/>
                <w:sz w:val="20"/>
                <w:szCs w:val="20"/>
              </w:rPr>
            </w:pPr>
            <w:r>
              <w:rPr>
                <w:b/>
                <w:bCs/>
                <w:sz w:val="20"/>
                <w:szCs w:val="20"/>
              </w:rPr>
              <w:t>CA (DL)</w:t>
            </w:r>
          </w:p>
        </w:tc>
        <w:tc>
          <w:tcPr>
            <w:tcW w:w="4826"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14:paraId="232D7F8E">
            <w:pPr>
              <w:pStyle w:val="76"/>
              <w:rPr>
                <w:rFonts w:ascii="Times New Roman" w:hAnsi="Times New Roman"/>
                <w:sz w:val="20"/>
              </w:rPr>
            </w:pPr>
            <w:r>
              <w:rPr>
                <w:rFonts w:ascii="Times New Roman" w:hAnsi="Times New Roman"/>
                <w:sz w:val="20"/>
              </w:rPr>
              <w:t>2CC is 1.7x1CC</w:t>
            </w:r>
          </w:p>
          <w:p w14:paraId="23831D17">
            <w:pPr>
              <w:pStyle w:val="76"/>
              <w:rPr>
                <w:rFonts w:ascii="Times New Roman" w:hAnsi="Times New Roman"/>
                <w:sz w:val="20"/>
              </w:rPr>
            </w:pPr>
            <w:r>
              <w:rPr>
                <w:rFonts w:ascii="Times New Roman" w:hAnsi="Times New Roman"/>
                <w:sz w:val="20"/>
              </w:rPr>
              <w:t>4CC is 3.4x1CC (i.e. 2x 2CC)</w:t>
            </w:r>
          </w:p>
          <w:p w14:paraId="77FFBF2A">
            <w:pPr>
              <w:pStyle w:val="76"/>
              <w:rPr>
                <w:rFonts w:ascii="Times New Roman" w:hAnsi="Times New Roman"/>
                <w:sz w:val="20"/>
              </w:rPr>
            </w:pPr>
            <w:r>
              <w:rPr>
                <w:rFonts w:ascii="Times New Roman" w:hAnsi="Times New Roman"/>
                <w:sz w:val="20"/>
              </w:rPr>
              <w:t>Above refers to the worst case CA configuration in terms of power consumption.</w:t>
            </w:r>
          </w:p>
        </w:tc>
        <w:tc>
          <w:tcPr>
            <w:tcW w:w="3132"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14:paraId="295596DC">
            <w:pPr>
              <w:pStyle w:val="76"/>
              <w:rPr>
                <w:rFonts w:ascii="Times New Roman" w:hAnsi="Times New Roman"/>
                <w:sz w:val="20"/>
              </w:rPr>
            </w:pPr>
            <w:r>
              <w:rPr>
                <w:rFonts w:ascii="Times New Roman" w:hAnsi="Times New Roman"/>
                <w:sz w:val="20"/>
              </w:rPr>
              <w:t>Activation/deactivation delay follows RAN4 specification; FFS transition energy</w:t>
            </w:r>
          </w:p>
          <w:p w14:paraId="53893F47">
            <w:pPr>
              <w:pStyle w:val="76"/>
              <w:rPr>
                <w:rFonts w:ascii="Times New Roman" w:hAnsi="Times New Roman"/>
                <w:sz w:val="20"/>
              </w:rPr>
            </w:pPr>
            <w:r>
              <w:rPr>
                <w:rFonts w:ascii="Times New Roman" w:hAnsi="Times New Roman"/>
                <w:sz w:val="20"/>
              </w:rPr>
              <w:t>Applicable for FR1 and FR2</w:t>
            </w:r>
          </w:p>
        </w:tc>
      </w:tr>
      <w:tr w14:paraId="2ED86150">
        <w:trPr>
          <w:trHeight w:val="20" w:hRule="atLeast"/>
        </w:trPr>
        <w:tc>
          <w:tcPr>
            <w:tcW w:w="1256"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14:paraId="59812408">
            <w:pPr>
              <w:rPr>
                <w:b/>
                <w:bCs/>
                <w:sz w:val="20"/>
                <w:szCs w:val="20"/>
              </w:rPr>
            </w:pPr>
            <w:r>
              <w:rPr>
                <w:b/>
                <w:bCs/>
                <w:sz w:val="20"/>
                <w:szCs w:val="20"/>
              </w:rPr>
              <w:t>CA (UL)</w:t>
            </w:r>
          </w:p>
        </w:tc>
        <w:tc>
          <w:tcPr>
            <w:tcW w:w="4826"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14:paraId="4A5035CD">
            <w:pPr>
              <w:pStyle w:val="76"/>
              <w:rPr>
                <w:rFonts w:ascii="Times New Roman" w:hAnsi="Times New Roman"/>
                <w:sz w:val="20"/>
              </w:rPr>
            </w:pPr>
            <w:r>
              <w:rPr>
                <w:rFonts w:ascii="Times New Roman" w:hAnsi="Times New Roman"/>
                <w:sz w:val="20"/>
              </w:rPr>
              <w:t>Same as downlink at 0dBm. No scaling at 23dBm</w:t>
            </w:r>
          </w:p>
          <w:p w14:paraId="022CCCB9">
            <w:pPr>
              <w:pStyle w:val="76"/>
              <w:rPr>
                <w:rFonts w:ascii="Times New Roman" w:hAnsi="Times New Roman"/>
                <w:sz w:val="20"/>
              </w:rPr>
            </w:pPr>
            <w:r>
              <w:rPr>
                <w:rFonts w:ascii="Times New Roman" w:hAnsi="Times New Roman"/>
                <w:sz w:val="20"/>
              </w:rPr>
              <w:t>2CC is 1.2x1CC at 23dBm</w:t>
            </w:r>
          </w:p>
          <w:p w14:paraId="0BB6811E">
            <w:pPr>
              <w:pStyle w:val="76"/>
              <w:rPr>
                <w:rFonts w:ascii="Times New Roman" w:hAnsi="Times New Roman"/>
                <w:sz w:val="20"/>
              </w:rPr>
            </w:pPr>
            <w:r>
              <w:rPr>
                <w:rFonts w:ascii="Times New Roman" w:hAnsi="Times New Roman"/>
                <w:sz w:val="20"/>
              </w:rPr>
              <w:t>Limit scaling up to 2CC.</w:t>
            </w:r>
          </w:p>
        </w:tc>
        <w:tc>
          <w:tcPr>
            <w:tcW w:w="3132"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14:paraId="7384204F">
            <w:pPr>
              <w:pStyle w:val="76"/>
              <w:rPr>
                <w:rFonts w:ascii="Times New Roman" w:hAnsi="Times New Roman"/>
                <w:sz w:val="20"/>
              </w:rPr>
            </w:pPr>
            <w:r>
              <w:rPr>
                <w:rFonts w:ascii="Times New Roman" w:hAnsi="Times New Roman"/>
                <w:sz w:val="20"/>
              </w:rPr>
              <w:t>Applicable for FR1 and FR2</w:t>
            </w:r>
          </w:p>
        </w:tc>
      </w:tr>
      <w:tr w14:paraId="001A7A1F">
        <w:trPr>
          <w:trHeight w:val="20" w:hRule="atLeast"/>
        </w:trPr>
        <w:tc>
          <w:tcPr>
            <w:tcW w:w="1256"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14:paraId="3E1A16E6">
            <w:pPr>
              <w:rPr>
                <w:b/>
                <w:bCs/>
                <w:sz w:val="20"/>
                <w:szCs w:val="20"/>
              </w:rPr>
            </w:pPr>
            <w:r>
              <w:rPr>
                <w:b/>
                <w:bCs/>
                <w:sz w:val="20"/>
                <w:szCs w:val="20"/>
              </w:rPr>
              <w:t>Antenna scaling (DL)</w:t>
            </w:r>
          </w:p>
        </w:tc>
        <w:tc>
          <w:tcPr>
            <w:tcW w:w="4826"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14:paraId="09ED516C">
            <w:pPr>
              <w:pStyle w:val="76"/>
              <w:rPr>
                <w:rFonts w:ascii="Times New Roman" w:hAnsi="Times New Roman"/>
                <w:sz w:val="20"/>
              </w:rPr>
            </w:pPr>
            <w:r>
              <w:rPr>
                <w:rFonts w:ascii="Times New Roman" w:hAnsi="Times New Roman"/>
                <w:sz w:val="20"/>
              </w:rPr>
              <w:t>2Rx power is 0.7x 4Rx power for FR1</w:t>
            </w:r>
          </w:p>
          <w:p w14:paraId="705943DE">
            <w:pPr>
              <w:pStyle w:val="76"/>
              <w:rPr>
                <w:rFonts w:ascii="Times New Roman" w:hAnsi="Times New Roman"/>
                <w:sz w:val="20"/>
              </w:rPr>
            </w:pPr>
            <w:r>
              <w:rPr>
                <w:rFonts w:ascii="Times New Roman" w:hAnsi="Times New Roman"/>
                <w:sz w:val="20"/>
              </w:rPr>
              <w:t>1Rx power is 0.7x 2Rx power for FR2</w:t>
            </w:r>
          </w:p>
        </w:tc>
        <w:tc>
          <w:tcPr>
            <w:tcW w:w="3132"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14:paraId="2B8D9F39">
            <w:pPr>
              <w:pStyle w:val="76"/>
              <w:rPr>
                <w:rFonts w:ascii="Times New Roman" w:hAnsi="Times New Roman"/>
                <w:sz w:val="20"/>
              </w:rPr>
            </w:pPr>
          </w:p>
          <w:p w14:paraId="7322260B">
            <w:pPr>
              <w:pStyle w:val="76"/>
              <w:rPr>
                <w:rFonts w:ascii="Times New Roman" w:hAnsi="Times New Roman"/>
                <w:sz w:val="20"/>
              </w:rPr>
            </w:pPr>
            <w:r>
              <w:rPr>
                <w:rFonts w:ascii="Times New Roman" w:hAnsi="Times New Roman"/>
                <w:sz w:val="20"/>
              </w:rPr>
              <w:t>Assume same number of antenna elements per Rx chain</w:t>
            </w:r>
          </w:p>
        </w:tc>
      </w:tr>
      <w:tr w14:paraId="2F7F5098">
        <w:trPr>
          <w:trHeight w:val="20" w:hRule="atLeast"/>
        </w:trPr>
        <w:tc>
          <w:tcPr>
            <w:tcW w:w="1256"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14:paraId="12CBB023">
            <w:pPr>
              <w:rPr>
                <w:b/>
                <w:bCs/>
                <w:sz w:val="20"/>
                <w:szCs w:val="20"/>
              </w:rPr>
            </w:pPr>
            <w:r>
              <w:rPr>
                <w:b/>
                <w:bCs/>
                <w:sz w:val="20"/>
                <w:szCs w:val="20"/>
              </w:rPr>
              <w:t>Antenna scaling (UL)</w:t>
            </w:r>
          </w:p>
        </w:tc>
        <w:tc>
          <w:tcPr>
            <w:tcW w:w="4826"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14:paraId="2B30DD06">
            <w:pPr>
              <w:pStyle w:val="76"/>
              <w:rPr>
                <w:rFonts w:ascii="Times New Roman" w:hAnsi="Times New Roman"/>
                <w:sz w:val="20"/>
              </w:rPr>
            </w:pPr>
            <w:r>
              <w:rPr>
                <w:rFonts w:ascii="Times New Roman" w:hAnsi="Times New Roman"/>
                <w:sz w:val="20"/>
              </w:rPr>
              <w:t>2Tx power is 1.4x 1Tx power at 0dBm. 1.2x.at 23dBm FR1 only</w:t>
            </w:r>
          </w:p>
        </w:tc>
        <w:tc>
          <w:tcPr>
            <w:tcW w:w="3132"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14:paraId="0C9BFAC4">
            <w:pPr>
              <w:pStyle w:val="76"/>
              <w:rPr>
                <w:rFonts w:ascii="Times New Roman" w:hAnsi="Times New Roman"/>
                <w:sz w:val="20"/>
              </w:rPr>
            </w:pPr>
          </w:p>
          <w:p w14:paraId="56EFF71C">
            <w:pPr>
              <w:pStyle w:val="76"/>
              <w:rPr>
                <w:rFonts w:ascii="Times New Roman" w:hAnsi="Times New Roman"/>
                <w:strike/>
                <w:sz w:val="20"/>
              </w:rPr>
            </w:pPr>
            <w:r>
              <w:rPr>
                <w:rFonts w:ascii="Times New Roman" w:hAnsi="Times New Roman"/>
                <w:sz w:val="20"/>
              </w:rPr>
              <w:t>2Tx support is not considered for FR2.</w:t>
            </w:r>
          </w:p>
          <w:p w14:paraId="4EE7D911">
            <w:pPr>
              <w:pStyle w:val="76"/>
              <w:rPr>
                <w:rFonts w:ascii="Times New Roman" w:hAnsi="Times New Roman"/>
                <w:sz w:val="20"/>
              </w:rPr>
            </w:pPr>
          </w:p>
        </w:tc>
      </w:tr>
      <w:tr w14:paraId="593FCCC3">
        <w:trPr>
          <w:trHeight w:val="20" w:hRule="atLeast"/>
        </w:trPr>
        <w:tc>
          <w:tcPr>
            <w:tcW w:w="1256"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14:paraId="4243B4E1">
            <w:pPr>
              <w:rPr>
                <w:b/>
                <w:bCs/>
                <w:sz w:val="20"/>
                <w:szCs w:val="20"/>
              </w:rPr>
            </w:pPr>
            <w:r>
              <w:rPr>
                <w:b/>
                <w:bCs/>
                <w:sz w:val="20"/>
                <w:szCs w:val="20"/>
              </w:rPr>
              <w:t>PDCCH-only</w:t>
            </w:r>
          </w:p>
        </w:tc>
        <w:tc>
          <w:tcPr>
            <w:tcW w:w="4826"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14:paraId="3A7EF787">
            <w:pPr>
              <w:pStyle w:val="76"/>
              <w:rPr>
                <w:rFonts w:ascii="Times New Roman" w:hAnsi="Times New Roman"/>
                <w:sz w:val="20"/>
              </w:rPr>
            </w:pPr>
            <w:r>
              <w:rPr>
                <w:rFonts w:ascii="Times New Roman" w:hAnsi="Times New Roman"/>
                <w:sz w:val="20"/>
              </w:rPr>
              <w:t>Power of cross-slot scheduling is 0.7x same-slot scheduling</w:t>
            </w:r>
          </w:p>
          <w:p w14:paraId="33EABD13">
            <w:pPr>
              <w:pStyle w:val="76"/>
              <w:rPr>
                <w:rFonts w:ascii="Times New Roman" w:hAnsi="Times New Roman"/>
                <w:sz w:val="20"/>
              </w:rPr>
            </w:pPr>
          </w:p>
        </w:tc>
        <w:tc>
          <w:tcPr>
            <w:tcW w:w="3132"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14:paraId="4F64633C">
            <w:pPr>
              <w:pStyle w:val="76"/>
              <w:rPr>
                <w:rFonts w:ascii="Times New Roman" w:hAnsi="Times New Roman"/>
                <w:sz w:val="20"/>
              </w:rPr>
            </w:pPr>
            <w:r>
              <w:rPr>
                <w:rFonts w:ascii="Times New Roman" w:hAnsi="Times New Roman"/>
                <w:sz w:val="20"/>
              </w:rPr>
              <w:t>Applicable for FR1 and FR2</w:t>
            </w:r>
          </w:p>
        </w:tc>
      </w:tr>
      <w:tr w14:paraId="749AE260">
        <w:trPr>
          <w:trHeight w:val="20" w:hRule="atLeast"/>
        </w:trPr>
        <w:tc>
          <w:tcPr>
            <w:tcW w:w="1256"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14:paraId="7F9F381E">
            <w:pPr>
              <w:rPr>
                <w:b/>
                <w:bCs/>
                <w:sz w:val="20"/>
                <w:szCs w:val="20"/>
              </w:rPr>
            </w:pPr>
            <w:r>
              <w:rPr>
                <w:b/>
                <w:bCs/>
                <w:sz w:val="20"/>
                <w:szCs w:val="20"/>
              </w:rPr>
              <w:t>SSB</w:t>
            </w:r>
          </w:p>
        </w:tc>
        <w:tc>
          <w:tcPr>
            <w:tcW w:w="4826"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vAlign w:val="center"/>
          </w:tcPr>
          <w:p w14:paraId="0FC0C7B8">
            <w:pPr>
              <w:pStyle w:val="76"/>
              <w:rPr>
                <w:rFonts w:ascii="Times New Roman" w:hAnsi="Times New Roman"/>
                <w:sz w:val="20"/>
              </w:rPr>
            </w:pPr>
            <w:r>
              <w:rPr>
                <w:rFonts w:ascii="Times New Roman" w:hAnsi="Times New Roman"/>
                <w:sz w:val="20"/>
              </w:rPr>
              <w:t>One SSB power is 0.75 of two SSB power, i.e. 75 power units</w:t>
            </w:r>
          </w:p>
          <w:p w14:paraId="71BA8E8B">
            <w:pPr>
              <w:pStyle w:val="76"/>
              <w:rPr>
                <w:rFonts w:ascii="Times New Roman" w:hAnsi="Times New Roman"/>
                <w:sz w:val="20"/>
              </w:rPr>
            </w:pPr>
          </w:p>
        </w:tc>
        <w:tc>
          <w:tcPr>
            <w:tcW w:w="3132"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vAlign w:val="center"/>
          </w:tcPr>
          <w:p w14:paraId="1CFB6D40">
            <w:pPr>
              <w:pStyle w:val="76"/>
              <w:rPr>
                <w:rFonts w:ascii="Times New Roman" w:hAnsi="Times New Roman"/>
                <w:sz w:val="20"/>
              </w:rPr>
            </w:pPr>
          </w:p>
        </w:tc>
      </w:tr>
      <w:tr w14:paraId="697F15C6">
        <w:trPr>
          <w:trHeight w:val="20" w:hRule="atLeast"/>
        </w:trPr>
        <w:tc>
          <w:tcPr>
            <w:tcW w:w="1256"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14:paraId="74EB6A91">
            <w:pPr>
              <w:rPr>
                <w:b/>
                <w:bCs/>
                <w:sz w:val="20"/>
                <w:szCs w:val="20"/>
              </w:rPr>
            </w:pPr>
            <w:r>
              <w:rPr>
                <w:b/>
                <w:bCs/>
                <w:sz w:val="20"/>
                <w:szCs w:val="20"/>
              </w:rPr>
              <w:t>CSI-RS</w:t>
            </w:r>
          </w:p>
        </w:tc>
        <w:tc>
          <w:tcPr>
            <w:tcW w:w="4826"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vAlign w:val="center"/>
          </w:tcPr>
          <w:p w14:paraId="066439E3">
            <w:pPr>
              <w:pStyle w:val="76"/>
              <w:rPr>
                <w:rFonts w:ascii="Times New Roman" w:hAnsi="Times New Roman"/>
                <w:sz w:val="20"/>
              </w:rPr>
            </w:pPr>
            <w:r>
              <w:rPr>
                <w:rFonts w:ascii="Times New Roman" w:hAnsi="Times New Roman"/>
                <w:sz w:val="20"/>
              </w:rPr>
              <w:t>FFS for scaling w.r.t. # of symbols for CSI-RS</w:t>
            </w:r>
          </w:p>
          <w:p w14:paraId="4E0D5AA8">
            <w:pPr>
              <w:pStyle w:val="76"/>
              <w:rPr>
                <w:rFonts w:ascii="Times New Roman" w:hAnsi="Times New Roman"/>
                <w:sz w:val="20"/>
              </w:rPr>
            </w:pPr>
          </w:p>
        </w:tc>
        <w:tc>
          <w:tcPr>
            <w:tcW w:w="3132"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14:paraId="715BCAC7">
            <w:pPr>
              <w:pStyle w:val="76"/>
              <w:rPr>
                <w:rFonts w:ascii="Times New Roman" w:hAnsi="Times New Roman"/>
                <w:sz w:val="20"/>
              </w:rPr>
            </w:pPr>
          </w:p>
        </w:tc>
      </w:tr>
      <w:tr w14:paraId="72D8824E">
        <w:trPr>
          <w:trHeight w:val="20" w:hRule="atLeast"/>
        </w:trPr>
        <w:tc>
          <w:tcPr>
            <w:tcW w:w="1256"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14:paraId="4B7332E8">
            <w:pPr>
              <w:rPr>
                <w:b/>
                <w:bCs/>
                <w:sz w:val="20"/>
                <w:szCs w:val="20"/>
              </w:rPr>
            </w:pPr>
            <w:r>
              <w:rPr>
                <w:b/>
                <w:bCs/>
                <w:sz w:val="20"/>
                <w:szCs w:val="20"/>
              </w:rPr>
              <w:t>Short PUCCH</w:t>
            </w:r>
          </w:p>
        </w:tc>
        <w:tc>
          <w:tcPr>
            <w:tcW w:w="4826"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14:paraId="1D74D04A">
            <w:pPr>
              <w:pStyle w:val="76"/>
              <w:rPr>
                <w:rFonts w:ascii="Times New Roman" w:hAnsi="Times New Roman"/>
                <w:sz w:val="20"/>
              </w:rPr>
            </w:pPr>
            <w:r>
              <w:rPr>
                <w:rFonts w:ascii="Times New Roman" w:hAnsi="Times New Roman"/>
                <w:sz w:val="20"/>
              </w:rPr>
              <w:t>Short PUCCH power = 0.3 x uplink power</w:t>
            </w:r>
          </w:p>
          <w:p w14:paraId="256770D7">
            <w:pPr>
              <w:pStyle w:val="76"/>
              <w:rPr>
                <w:rFonts w:ascii="Times New Roman" w:hAnsi="Times New Roman"/>
                <w:sz w:val="20"/>
              </w:rPr>
            </w:pPr>
            <w:r>
              <w:rPr>
                <w:rFonts w:ascii="Times New Roman" w:hAnsi="Times New Roman"/>
                <w:sz w:val="20"/>
              </w:rPr>
              <w:t>Reference config consists of 1-symbol PUCCH</w:t>
            </w:r>
          </w:p>
        </w:tc>
        <w:tc>
          <w:tcPr>
            <w:tcW w:w="3132"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14:paraId="0C60A64D">
            <w:pPr>
              <w:pStyle w:val="76"/>
              <w:rPr>
                <w:rFonts w:ascii="Times New Roman" w:hAnsi="Times New Roman"/>
                <w:sz w:val="20"/>
              </w:rPr>
            </w:pPr>
            <w:r>
              <w:rPr>
                <w:rFonts w:ascii="Times New Roman" w:hAnsi="Times New Roman"/>
                <w:sz w:val="20"/>
              </w:rPr>
              <w:t>Applicable for FR1 and FR2.</w:t>
            </w:r>
          </w:p>
        </w:tc>
      </w:tr>
      <w:tr w14:paraId="4A75A970">
        <w:trPr>
          <w:trHeight w:val="20" w:hRule="atLeast"/>
        </w:trPr>
        <w:tc>
          <w:tcPr>
            <w:tcW w:w="1256"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14:paraId="770BDC39">
            <w:pPr>
              <w:rPr>
                <w:b/>
                <w:bCs/>
                <w:sz w:val="20"/>
                <w:szCs w:val="20"/>
              </w:rPr>
            </w:pPr>
            <w:r>
              <w:rPr>
                <w:b/>
                <w:bCs/>
                <w:sz w:val="20"/>
                <w:szCs w:val="20"/>
              </w:rPr>
              <w:t>SRS</w:t>
            </w:r>
          </w:p>
        </w:tc>
        <w:tc>
          <w:tcPr>
            <w:tcW w:w="4826"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14:paraId="1D0C7A82">
            <w:pPr>
              <w:pStyle w:val="76"/>
              <w:rPr>
                <w:rFonts w:ascii="Times New Roman" w:hAnsi="Times New Roman"/>
                <w:sz w:val="20"/>
              </w:rPr>
            </w:pPr>
            <w:r>
              <w:rPr>
                <w:rFonts w:ascii="Times New Roman" w:hAnsi="Times New Roman"/>
                <w:sz w:val="20"/>
              </w:rPr>
              <w:t>SRS power = 0.3 x uplink power</w:t>
            </w:r>
          </w:p>
        </w:tc>
        <w:tc>
          <w:tcPr>
            <w:tcW w:w="3132"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14:paraId="02C49430">
            <w:pPr>
              <w:pStyle w:val="76"/>
              <w:rPr>
                <w:rFonts w:ascii="Times New Roman" w:hAnsi="Times New Roman"/>
                <w:sz w:val="20"/>
              </w:rPr>
            </w:pPr>
            <w:r>
              <w:rPr>
                <w:rFonts w:ascii="Times New Roman" w:hAnsi="Times New Roman"/>
                <w:sz w:val="20"/>
              </w:rPr>
              <w:t>Applicable for FR1 and FR2.</w:t>
            </w:r>
          </w:p>
        </w:tc>
      </w:tr>
    </w:tbl>
    <w:p w14:paraId="60D4A5A9">
      <w:pPr>
        <w:pStyle w:val="5"/>
        <w:rPr>
          <w:sz w:val="22"/>
          <w:szCs w:val="22"/>
          <w:lang w:eastAsia="zh-CN"/>
        </w:rPr>
      </w:pPr>
      <w:r>
        <w:rPr>
          <w:rFonts w:hint="eastAsia"/>
          <w:sz w:val="22"/>
          <w:szCs w:val="22"/>
          <w:lang w:eastAsia="zh-CN"/>
        </w:rPr>
        <w:t>F</w:t>
      </w:r>
      <w:r>
        <w:rPr>
          <w:sz w:val="22"/>
          <w:szCs w:val="22"/>
          <w:lang w:eastAsia="zh-CN"/>
        </w:rPr>
        <w:t xml:space="preserve">or bandwidth, the system bandwidth of 100MHz is assume in reference configuration. According to the above table, linear interpolation is used if the bandwidth reduced. According to the agreement in RAN1#122bis, RAN1 assumes 400MHz maximum channel bandwidth at network side and 30kHz SCS around 7GHz. For the bandwidth larger than 100MHz, the power scaling would be discussed for different implementation. For instance, the number of RF chains for the bandwidth is not increase, only the power of BB </w:t>
      </w:r>
      <w:r>
        <w:rPr>
          <w:sz w:val="22"/>
          <w:szCs w:val="22"/>
        </w:rPr>
        <w:t>portion</w:t>
      </w:r>
      <w:r>
        <w:rPr>
          <w:sz w:val="22"/>
          <w:szCs w:val="22"/>
          <w:lang w:eastAsia="zh-CN"/>
        </w:rPr>
        <w:t xml:space="preserve"> is impacted, while if the bandwidth is aggregated by multiple RF chains, both the power of RF and BB are impacted.</w:t>
      </w:r>
    </w:p>
    <w:p w14:paraId="407F436C">
      <w:pPr>
        <w:pStyle w:val="5"/>
        <w:rPr>
          <w:rFonts w:hint="eastAsia"/>
          <w:sz w:val="22"/>
          <w:szCs w:val="22"/>
          <w:lang w:eastAsia="zh-CN"/>
        </w:rPr>
      </w:pPr>
      <w:r>
        <w:rPr>
          <w:sz w:val="22"/>
          <w:szCs w:val="22"/>
          <w:lang w:eastAsia="zh-CN"/>
        </w:rPr>
        <w:t xml:space="preserve">As similar as bandwidth in frequency domain, </w:t>
      </w:r>
      <w:r>
        <w:rPr>
          <w:sz w:val="22"/>
          <w:szCs w:val="22"/>
        </w:rPr>
        <w:t>other</w:t>
      </w:r>
      <w:r>
        <w:rPr>
          <w:rFonts w:hint="eastAsia"/>
          <w:sz w:val="22"/>
          <w:szCs w:val="22"/>
        </w:rPr>
        <w:t xml:space="preserve"> parameters</w:t>
      </w:r>
      <w:r>
        <w:rPr>
          <w:sz w:val="22"/>
          <w:szCs w:val="22"/>
        </w:rPr>
        <w:t xml:space="preserve"> including</w:t>
      </w:r>
      <w:r>
        <w:rPr>
          <w:sz w:val="22"/>
          <w:szCs w:val="22"/>
          <w:lang w:eastAsia="zh-CN"/>
        </w:rPr>
        <w:t xml:space="preserve"> time domain or spatial domain would change,</w:t>
      </w:r>
      <w:r>
        <w:rPr>
          <w:rFonts w:hint="eastAsia"/>
          <w:sz w:val="22"/>
          <w:szCs w:val="22"/>
        </w:rPr>
        <w:t xml:space="preserve"> in relative to the reference configuration</w:t>
      </w:r>
      <w:r>
        <w:rPr>
          <w:sz w:val="22"/>
          <w:szCs w:val="22"/>
        </w:rPr>
        <w:t>. To address the adaptation of different dimensionality, it can be considered to use</w:t>
      </w:r>
      <w:r>
        <w:rPr>
          <w:rFonts w:hint="eastAsia"/>
          <w:sz w:val="22"/>
          <w:szCs w:val="22"/>
        </w:rPr>
        <w:t xml:space="preserve"> a unified formula that </w:t>
      </w:r>
      <w:r>
        <w:rPr>
          <w:sz w:val="22"/>
          <w:szCs w:val="22"/>
        </w:rPr>
        <w:t xml:space="preserve">including </w:t>
      </w:r>
      <w:r>
        <w:rPr>
          <w:rFonts w:hint="eastAsia"/>
          <w:sz w:val="22"/>
          <w:szCs w:val="22"/>
        </w:rPr>
        <w:t xml:space="preserve">all potential </w:t>
      </w:r>
      <w:r>
        <w:rPr>
          <w:sz w:val="22"/>
          <w:szCs w:val="22"/>
        </w:rPr>
        <w:t>scaling</w:t>
      </w:r>
      <w:r>
        <w:rPr>
          <w:rFonts w:hint="eastAsia"/>
          <w:sz w:val="22"/>
          <w:szCs w:val="22"/>
        </w:rPr>
        <w:t xml:space="preserve"> factors</w:t>
      </w:r>
      <w:r>
        <w:rPr>
          <w:sz w:val="22"/>
          <w:szCs w:val="22"/>
        </w:rPr>
        <w:t xml:space="preserve">. The power for the DL can be </w:t>
      </w:r>
      <w:r>
        <w:rPr>
          <w:rFonts w:hint="eastAsia"/>
          <w:sz w:val="22"/>
          <w:szCs w:val="22"/>
        </w:rPr>
        <w:t>calculated as follows</w:t>
      </w:r>
      <w:r>
        <w:rPr>
          <w:sz w:val="22"/>
          <w:szCs w:val="22"/>
        </w:rPr>
        <w:t>:</w:t>
      </w:r>
    </w:p>
    <w:p w14:paraId="148B0B87">
      <w:pPr>
        <w:pStyle w:val="5"/>
        <w:rPr>
          <w:sz w:val="22"/>
          <w:szCs w:val="22"/>
          <w:lang w:eastAsia="zh-CN"/>
        </w:rPr>
      </w:pPr>
      <m:oMathPara>
        <m:oMath>
          <m:r>
            <m:rPr/>
            <w:rPr>
              <w:rFonts w:ascii="Cambria Math" w:hAnsi="Cambria Math"/>
              <w:sz w:val="22"/>
              <w:szCs w:val="22"/>
              <w:lang w:eastAsia="zh-CN"/>
            </w:rPr>
            <m:t>P=t1∗</m:t>
          </m:r>
          <m:sSub>
            <m:sSubPr>
              <m:ctrlPr>
                <w:rPr>
                  <w:rFonts w:ascii="Cambria Math" w:hAnsi="Cambria Math"/>
                  <w:i/>
                  <w:sz w:val="22"/>
                  <w:szCs w:val="22"/>
                  <w:lang w:eastAsia="zh-CN"/>
                </w:rPr>
              </m:ctrlPr>
            </m:sSubPr>
            <m:e>
              <m:r>
                <m:rPr/>
                <w:rPr>
                  <w:rFonts w:ascii="Cambria Math" w:hAnsi="Cambria Math"/>
                  <w:sz w:val="22"/>
                  <w:szCs w:val="22"/>
                  <w:lang w:eastAsia="zh-CN"/>
                </w:rPr>
                <m:t>f1∗s1∗P</m:t>
              </m:r>
              <m:ctrlPr>
                <w:rPr>
                  <w:rFonts w:ascii="Cambria Math" w:hAnsi="Cambria Math"/>
                  <w:i/>
                  <w:sz w:val="22"/>
                  <w:szCs w:val="22"/>
                  <w:lang w:eastAsia="zh-CN"/>
                </w:rPr>
              </m:ctrlPr>
            </m:e>
            <m:sub>
              <m:r>
                <m:rPr/>
                <w:rPr>
                  <w:rFonts w:ascii="Cambria Math" w:hAnsi="Cambria Math"/>
                  <w:sz w:val="22"/>
                  <w:szCs w:val="22"/>
                  <w:lang w:eastAsia="zh-CN"/>
                </w:rPr>
                <m:t>RF</m:t>
              </m:r>
              <m:ctrlPr>
                <w:rPr>
                  <w:rFonts w:ascii="Cambria Math" w:hAnsi="Cambria Math"/>
                  <w:i/>
                  <w:sz w:val="22"/>
                  <w:szCs w:val="22"/>
                  <w:lang w:eastAsia="zh-CN"/>
                </w:rPr>
              </m:ctrlPr>
            </m:sub>
          </m:sSub>
          <m:r>
            <m:rPr/>
            <w:rPr>
              <w:rFonts w:ascii="Cambria Math" w:hAnsi="Cambria Math"/>
              <w:sz w:val="22"/>
              <w:szCs w:val="22"/>
              <w:lang w:eastAsia="zh-CN"/>
            </w:rPr>
            <m:t>+t2∗</m:t>
          </m:r>
          <m:sSub>
            <m:sSubPr>
              <m:ctrlPr>
                <w:rPr>
                  <w:rFonts w:ascii="Cambria Math" w:hAnsi="Cambria Math"/>
                  <w:i/>
                  <w:sz w:val="22"/>
                  <w:szCs w:val="22"/>
                  <w:lang w:eastAsia="zh-CN"/>
                </w:rPr>
              </m:ctrlPr>
            </m:sSubPr>
            <m:e>
              <m:r>
                <m:rPr/>
                <w:rPr>
                  <w:rFonts w:ascii="Cambria Math" w:hAnsi="Cambria Math"/>
                  <w:sz w:val="22"/>
                  <w:szCs w:val="22"/>
                  <w:lang w:eastAsia="zh-CN"/>
                </w:rPr>
                <m:t>f2∗s2∗P</m:t>
              </m:r>
              <m:ctrlPr>
                <w:rPr>
                  <w:rFonts w:ascii="Cambria Math" w:hAnsi="Cambria Math"/>
                  <w:i/>
                  <w:sz w:val="22"/>
                  <w:szCs w:val="22"/>
                  <w:lang w:eastAsia="zh-CN"/>
                </w:rPr>
              </m:ctrlPr>
            </m:e>
            <m:sub>
              <m:r>
                <m:rPr/>
                <w:rPr>
                  <w:rFonts w:ascii="Cambria Math" w:hAnsi="Cambria Math"/>
                  <w:sz w:val="22"/>
                  <w:szCs w:val="22"/>
                  <w:lang w:eastAsia="zh-CN"/>
                </w:rPr>
                <m:t>BB</m:t>
              </m:r>
              <m:ctrlPr>
                <w:rPr>
                  <w:rFonts w:ascii="Cambria Math" w:hAnsi="Cambria Math"/>
                  <w:i/>
                  <w:sz w:val="22"/>
                  <w:szCs w:val="22"/>
                  <w:lang w:eastAsia="zh-CN"/>
                </w:rPr>
              </m:ctrlPr>
            </m:sub>
          </m:sSub>
        </m:oMath>
      </m:oMathPara>
    </w:p>
    <w:p w14:paraId="6903E434">
      <w:pPr>
        <w:pStyle w:val="5"/>
        <w:rPr>
          <w:sz w:val="22"/>
          <w:szCs w:val="22"/>
          <w:lang w:eastAsia="zh-CN"/>
        </w:rPr>
      </w:pPr>
      <w:r>
        <w:rPr>
          <w:sz w:val="22"/>
          <w:szCs w:val="22"/>
          <w:lang w:eastAsia="zh-CN"/>
        </w:rPr>
        <w:t xml:space="preserve">Wherein, the value of </w:t>
      </w:r>
      <m:oMath>
        <m:sSub>
          <m:sSubPr>
            <m:ctrlPr>
              <w:rPr>
                <w:rFonts w:ascii="Cambria Math" w:hAnsi="Cambria Math"/>
                <w:i/>
                <w:sz w:val="22"/>
                <w:szCs w:val="22"/>
                <w:lang w:eastAsia="zh-CN"/>
              </w:rPr>
            </m:ctrlPr>
          </m:sSubPr>
          <m:e>
            <m:r>
              <m:rPr/>
              <w:rPr>
                <w:rFonts w:ascii="Cambria Math" w:hAnsi="Cambria Math"/>
                <w:sz w:val="22"/>
                <w:szCs w:val="22"/>
                <w:lang w:eastAsia="zh-CN"/>
              </w:rPr>
              <m:t>P</m:t>
            </m:r>
            <m:ctrlPr>
              <w:rPr>
                <w:rFonts w:ascii="Cambria Math" w:hAnsi="Cambria Math"/>
                <w:i/>
                <w:sz w:val="22"/>
                <w:szCs w:val="22"/>
                <w:lang w:eastAsia="zh-CN"/>
              </w:rPr>
            </m:ctrlPr>
          </m:e>
          <m:sub>
            <m:r>
              <m:rPr/>
              <w:rPr>
                <w:rFonts w:ascii="Cambria Math" w:hAnsi="Cambria Math"/>
                <w:sz w:val="22"/>
                <w:szCs w:val="22"/>
                <w:lang w:eastAsia="zh-CN"/>
              </w:rPr>
              <m:t>RF</m:t>
            </m:r>
            <m:ctrlPr>
              <w:rPr>
                <w:rFonts w:ascii="Cambria Math" w:hAnsi="Cambria Math"/>
                <w:i/>
                <w:sz w:val="22"/>
                <w:szCs w:val="22"/>
                <w:lang w:eastAsia="zh-CN"/>
              </w:rPr>
            </m:ctrlPr>
          </m:sub>
        </m:sSub>
        <m:r>
          <m:rPr/>
          <w:rPr>
            <w:rFonts w:ascii="Cambria Math" w:hAnsi="Cambria Math"/>
            <w:sz w:val="22"/>
            <w:szCs w:val="22"/>
            <w:lang w:eastAsia="zh-CN"/>
          </w:rPr>
          <m:t>+</m:t>
        </m:r>
        <m:sSub>
          <m:sSubPr>
            <m:ctrlPr>
              <w:rPr>
                <w:rFonts w:ascii="Cambria Math" w:hAnsi="Cambria Math"/>
                <w:i/>
                <w:sz w:val="22"/>
                <w:szCs w:val="22"/>
                <w:lang w:eastAsia="zh-CN"/>
              </w:rPr>
            </m:ctrlPr>
          </m:sSubPr>
          <m:e>
            <m:r>
              <m:rPr/>
              <w:rPr>
                <w:rFonts w:ascii="Cambria Math" w:hAnsi="Cambria Math"/>
                <w:sz w:val="22"/>
                <w:szCs w:val="22"/>
                <w:lang w:eastAsia="zh-CN"/>
              </w:rPr>
              <m:t>P</m:t>
            </m:r>
            <m:ctrlPr>
              <w:rPr>
                <w:rFonts w:ascii="Cambria Math" w:hAnsi="Cambria Math"/>
                <w:i/>
                <w:sz w:val="22"/>
                <w:szCs w:val="22"/>
                <w:lang w:eastAsia="zh-CN"/>
              </w:rPr>
            </m:ctrlPr>
          </m:e>
          <m:sub>
            <m:r>
              <m:rPr/>
              <w:rPr>
                <w:rFonts w:ascii="Cambria Math" w:hAnsi="Cambria Math"/>
                <w:sz w:val="22"/>
                <w:szCs w:val="22"/>
                <w:lang w:eastAsia="zh-CN"/>
              </w:rPr>
              <m:t>BB</m:t>
            </m:r>
            <m:ctrlPr>
              <w:rPr>
                <w:rFonts w:ascii="Cambria Math" w:hAnsi="Cambria Math"/>
                <w:i/>
                <w:sz w:val="22"/>
                <w:szCs w:val="22"/>
                <w:lang w:eastAsia="zh-CN"/>
              </w:rPr>
            </m:ctrlPr>
          </m:sub>
        </m:sSub>
      </m:oMath>
      <w:r>
        <w:rPr>
          <w:rFonts w:hint="eastAsia"/>
          <w:sz w:val="22"/>
          <w:szCs w:val="22"/>
          <w:lang w:eastAsia="zh-CN"/>
        </w:rPr>
        <w:t xml:space="preserve"> </w:t>
      </w:r>
      <w:r>
        <w:rPr>
          <w:sz w:val="22"/>
          <w:szCs w:val="22"/>
          <w:lang w:eastAsia="zh-CN"/>
        </w:rPr>
        <w:t>equals to the relative power of the reference configuration, and</w:t>
      </w:r>
    </w:p>
    <w:p w14:paraId="56829FE3">
      <w:pPr>
        <w:pStyle w:val="5"/>
        <w:rPr>
          <w:sz w:val="22"/>
          <w:szCs w:val="22"/>
        </w:rPr>
      </w:pPr>
      <w:r>
        <w:rPr>
          <w:rFonts w:hint="eastAsia"/>
          <w:sz w:val="22"/>
          <w:szCs w:val="22"/>
          <w:lang w:eastAsia="zh-CN"/>
        </w:rPr>
        <w:t>(</w:t>
      </w:r>
      <w:r>
        <w:rPr>
          <w:sz w:val="22"/>
          <w:szCs w:val="22"/>
          <w:lang w:eastAsia="zh-CN"/>
        </w:rPr>
        <w:t>t1, t2) are the factors in relative to the power of RF</w:t>
      </w:r>
      <w:r>
        <w:rPr>
          <w:sz w:val="22"/>
          <w:szCs w:val="22"/>
        </w:rPr>
        <w:t xml:space="preserve"> portion and</w:t>
      </w:r>
      <w:r>
        <w:rPr>
          <w:sz w:val="22"/>
          <w:szCs w:val="22"/>
          <w:lang w:eastAsia="zh-CN"/>
        </w:rPr>
        <w:t xml:space="preserve"> the power of BB </w:t>
      </w:r>
      <w:r>
        <w:rPr>
          <w:sz w:val="22"/>
          <w:szCs w:val="22"/>
        </w:rPr>
        <w:t xml:space="preserve">portion respectively, if the </w:t>
      </w:r>
      <w:r>
        <w:rPr>
          <w:rFonts w:hint="eastAsia"/>
          <w:sz w:val="22"/>
          <w:szCs w:val="22"/>
        </w:rPr>
        <w:t>parameters</w:t>
      </w:r>
      <w:r>
        <w:rPr>
          <w:sz w:val="22"/>
          <w:szCs w:val="22"/>
        </w:rPr>
        <w:t xml:space="preserve"> in time domain is changed;</w:t>
      </w:r>
    </w:p>
    <w:p w14:paraId="75A6728C">
      <w:pPr>
        <w:pStyle w:val="5"/>
        <w:rPr>
          <w:sz w:val="22"/>
          <w:szCs w:val="22"/>
        </w:rPr>
      </w:pPr>
      <w:r>
        <w:rPr>
          <w:rFonts w:hint="eastAsia"/>
          <w:sz w:val="22"/>
          <w:szCs w:val="22"/>
          <w:lang w:eastAsia="zh-CN"/>
        </w:rPr>
        <w:t>(</w:t>
      </w:r>
      <w:r>
        <w:rPr>
          <w:sz w:val="22"/>
          <w:szCs w:val="22"/>
          <w:lang w:eastAsia="zh-CN"/>
        </w:rPr>
        <w:t>f1, f2) are the factors in relative to the power of RF</w:t>
      </w:r>
      <w:r>
        <w:rPr>
          <w:sz w:val="22"/>
          <w:szCs w:val="22"/>
        </w:rPr>
        <w:t xml:space="preserve"> portion and</w:t>
      </w:r>
      <w:r>
        <w:rPr>
          <w:sz w:val="22"/>
          <w:szCs w:val="22"/>
          <w:lang w:eastAsia="zh-CN"/>
        </w:rPr>
        <w:t xml:space="preserve"> the power of BB </w:t>
      </w:r>
      <w:r>
        <w:rPr>
          <w:sz w:val="22"/>
          <w:szCs w:val="22"/>
        </w:rPr>
        <w:t xml:space="preserve">portion respectively, if the </w:t>
      </w:r>
      <w:r>
        <w:rPr>
          <w:rFonts w:hint="eastAsia"/>
          <w:sz w:val="22"/>
          <w:szCs w:val="22"/>
        </w:rPr>
        <w:t>parameters</w:t>
      </w:r>
      <w:r>
        <w:rPr>
          <w:sz w:val="22"/>
          <w:szCs w:val="22"/>
        </w:rPr>
        <w:t xml:space="preserve"> in frequency domain is changed;</w:t>
      </w:r>
    </w:p>
    <w:p w14:paraId="76E1A76F">
      <w:pPr>
        <w:pStyle w:val="5"/>
        <w:rPr>
          <w:sz w:val="22"/>
          <w:szCs w:val="22"/>
        </w:rPr>
      </w:pPr>
      <w:r>
        <w:rPr>
          <w:rFonts w:hint="eastAsia"/>
          <w:sz w:val="22"/>
          <w:szCs w:val="22"/>
          <w:lang w:eastAsia="zh-CN"/>
        </w:rPr>
        <w:t>(</w:t>
      </w:r>
      <w:r>
        <w:rPr>
          <w:sz w:val="22"/>
          <w:szCs w:val="22"/>
          <w:lang w:eastAsia="zh-CN"/>
        </w:rPr>
        <w:t>f1, f2) are the factors in relative to the power of RF</w:t>
      </w:r>
      <w:r>
        <w:rPr>
          <w:sz w:val="22"/>
          <w:szCs w:val="22"/>
        </w:rPr>
        <w:t xml:space="preserve"> portion and</w:t>
      </w:r>
      <w:r>
        <w:rPr>
          <w:sz w:val="22"/>
          <w:szCs w:val="22"/>
          <w:lang w:eastAsia="zh-CN"/>
        </w:rPr>
        <w:t xml:space="preserve"> the power of BB </w:t>
      </w:r>
      <w:r>
        <w:rPr>
          <w:sz w:val="22"/>
          <w:szCs w:val="22"/>
        </w:rPr>
        <w:t xml:space="preserve">portion respectively, if the </w:t>
      </w:r>
      <w:r>
        <w:rPr>
          <w:rFonts w:hint="eastAsia"/>
          <w:sz w:val="22"/>
          <w:szCs w:val="22"/>
        </w:rPr>
        <w:t>parameters</w:t>
      </w:r>
      <w:r>
        <w:rPr>
          <w:sz w:val="22"/>
          <w:szCs w:val="22"/>
        </w:rPr>
        <w:t xml:space="preserve"> in spatial domain is changed.</w:t>
      </w:r>
    </w:p>
    <w:p w14:paraId="3F131F3B">
      <w:pPr>
        <w:pStyle w:val="5"/>
        <w:rPr>
          <w:sz w:val="22"/>
          <w:szCs w:val="22"/>
        </w:rPr>
      </w:pPr>
      <w:r>
        <w:rPr>
          <w:sz w:val="22"/>
          <w:szCs w:val="22"/>
        </w:rPr>
        <w:t xml:space="preserve">In TR38.840, the scaling rules only applies to non-sleep states. However, the power of Redcap for sleep states is lower than that in TR 38.840 due to the </w:t>
      </w:r>
      <w:r>
        <w:rPr>
          <w:rFonts w:hint="eastAsia"/>
          <w:sz w:val="22"/>
          <w:szCs w:val="22"/>
        </w:rPr>
        <w:t>reduced bandwidth</w:t>
      </w:r>
      <w:r>
        <w:rPr>
          <w:sz w:val="22"/>
          <w:szCs w:val="22"/>
        </w:rPr>
        <w:t xml:space="preserve"> and Rx. Considering </w:t>
      </w:r>
      <w:r>
        <w:rPr>
          <w:rFonts w:hint="eastAsia"/>
          <w:sz w:val="22"/>
          <w:szCs w:val="22"/>
        </w:rPr>
        <w:t>6G</w:t>
      </w:r>
      <w:r>
        <w:rPr>
          <w:sz w:val="22"/>
          <w:szCs w:val="22"/>
        </w:rPr>
        <w:t xml:space="preserve"> would</w:t>
      </w:r>
      <w:r>
        <w:rPr>
          <w:rFonts w:hint="eastAsia"/>
          <w:sz w:val="22"/>
          <w:szCs w:val="22"/>
        </w:rPr>
        <w:t xml:space="preserve"> support diverse device types</w:t>
      </w:r>
      <w:r>
        <w:rPr>
          <w:sz w:val="22"/>
          <w:szCs w:val="22"/>
        </w:rPr>
        <w:t>, power scaling rules for both non-sleep state and sleep state should be considered.</w:t>
      </w:r>
    </w:p>
    <w:p w14:paraId="71327990">
      <w:pPr>
        <w:pStyle w:val="5"/>
        <w:rPr>
          <w:rFonts w:hint="default" w:ascii="Times New Roman Bold Italic" w:hAnsi="Times New Roman Bold Italic" w:cs="Times New Roman Bold Italic"/>
          <w:b/>
          <w:bCs/>
          <w:i/>
          <w:iCs/>
          <w:sz w:val="22"/>
          <w:szCs w:val="22"/>
        </w:rPr>
      </w:pPr>
      <w:r>
        <w:rPr>
          <w:rFonts w:hint="default" w:ascii="Times New Roman Bold Italic" w:hAnsi="Times New Roman Bold Italic" w:cs="Times New Roman Bold Italic"/>
          <w:b/>
          <w:bCs/>
          <w:i/>
          <w:iCs/>
          <w:sz w:val="22"/>
          <w:szCs w:val="22"/>
          <w:lang w:eastAsia="zh-CN"/>
        </w:rPr>
        <w:t xml:space="preserve">Proposal </w:t>
      </w:r>
      <w:r>
        <w:rPr>
          <w:rFonts w:hint="default" w:ascii="Times New Roman Bold Italic" w:hAnsi="Times New Roman Bold Italic" w:cs="Times New Roman Bold Italic"/>
          <w:b/>
          <w:bCs/>
          <w:i/>
          <w:iCs/>
          <w:sz w:val="22"/>
          <w:szCs w:val="22"/>
          <w:lang w:val="en-US" w:eastAsia="zh-CN"/>
        </w:rPr>
        <w:t>17</w:t>
      </w:r>
      <w:r>
        <w:rPr>
          <w:rFonts w:hint="default" w:ascii="Times New Roman Bold Italic" w:hAnsi="Times New Roman Bold Italic" w:cs="Times New Roman Bold Italic"/>
          <w:b/>
          <w:bCs/>
          <w:i/>
          <w:iCs/>
          <w:sz w:val="22"/>
          <w:szCs w:val="22"/>
          <w:lang w:eastAsia="zh-CN"/>
        </w:rPr>
        <w:t xml:space="preserve">: For each power state for DL including non-sleep state and sleep state, </w:t>
      </w:r>
      <w:r>
        <w:rPr>
          <w:rFonts w:hint="default" w:ascii="Times New Roman Bold Italic" w:hAnsi="Times New Roman Bold Italic" w:cs="Times New Roman Bold Italic"/>
          <w:b/>
          <w:bCs/>
          <w:i/>
          <w:iCs/>
          <w:sz w:val="22"/>
          <w:szCs w:val="22"/>
        </w:rPr>
        <w:t>the power can be calculated as follows:</w:t>
      </w:r>
    </w:p>
    <w:p w14:paraId="200B5D2C">
      <w:pPr>
        <w:pStyle w:val="5"/>
        <w:rPr>
          <w:b/>
          <w:bCs/>
          <w:sz w:val="22"/>
          <w:szCs w:val="22"/>
          <w:lang w:eastAsia="zh-CN"/>
        </w:rPr>
      </w:pPr>
      <m:oMathPara>
        <m:oMath>
          <m:r>
            <m:rPr>
              <m:sty m:val="bi"/>
            </m:rPr>
            <w:rPr>
              <w:rFonts w:ascii="Cambria Math" w:hAnsi="Cambria Math"/>
              <w:sz w:val="22"/>
              <w:szCs w:val="22"/>
              <w:lang w:eastAsia="zh-CN"/>
            </w:rPr>
            <m:t>P=t1∗</m:t>
          </m:r>
          <m:sSub>
            <m:sSubPr>
              <m:ctrlPr>
                <w:rPr>
                  <w:rFonts w:ascii="Cambria Math" w:hAnsi="Cambria Math"/>
                  <w:b/>
                  <w:bCs/>
                  <w:i/>
                  <w:sz w:val="22"/>
                  <w:szCs w:val="22"/>
                  <w:lang w:eastAsia="zh-CN"/>
                </w:rPr>
              </m:ctrlPr>
            </m:sSubPr>
            <m:e>
              <m:r>
                <m:rPr>
                  <m:sty m:val="bi"/>
                </m:rPr>
                <w:rPr>
                  <w:rFonts w:ascii="Cambria Math" w:hAnsi="Cambria Math"/>
                  <w:sz w:val="22"/>
                  <w:szCs w:val="22"/>
                  <w:lang w:eastAsia="zh-CN"/>
                </w:rPr>
                <m:t>f1∗s1∗P</m:t>
              </m:r>
              <m:ctrlPr>
                <w:rPr>
                  <w:rFonts w:ascii="Cambria Math" w:hAnsi="Cambria Math"/>
                  <w:b/>
                  <w:bCs/>
                  <w:i/>
                  <w:sz w:val="22"/>
                  <w:szCs w:val="22"/>
                  <w:lang w:eastAsia="zh-CN"/>
                </w:rPr>
              </m:ctrlPr>
            </m:e>
            <m:sub>
              <m:r>
                <m:rPr>
                  <m:sty m:val="bi"/>
                </m:rPr>
                <w:rPr>
                  <w:rFonts w:ascii="Cambria Math" w:hAnsi="Cambria Math"/>
                  <w:sz w:val="22"/>
                  <w:szCs w:val="22"/>
                  <w:lang w:eastAsia="zh-CN"/>
                </w:rPr>
                <m:t>RF</m:t>
              </m:r>
              <m:ctrlPr>
                <w:rPr>
                  <w:rFonts w:ascii="Cambria Math" w:hAnsi="Cambria Math"/>
                  <w:b/>
                  <w:bCs/>
                  <w:i/>
                  <w:sz w:val="22"/>
                  <w:szCs w:val="22"/>
                  <w:lang w:eastAsia="zh-CN"/>
                </w:rPr>
              </m:ctrlPr>
            </m:sub>
          </m:sSub>
          <m:r>
            <m:rPr>
              <m:sty m:val="bi"/>
            </m:rPr>
            <w:rPr>
              <w:rFonts w:ascii="Cambria Math" w:hAnsi="Cambria Math"/>
              <w:sz w:val="22"/>
              <w:szCs w:val="22"/>
              <w:lang w:eastAsia="zh-CN"/>
            </w:rPr>
            <m:t>+t2∗</m:t>
          </m:r>
          <m:sSub>
            <m:sSubPr>
              <m:ctrlPr>
                <w:rPr>
                  <w:rFonts w:ascii="Cambria Math" w:hAnsi="Cambria Math"/>
                  <w:b/>
                  <w:bCs/>
                  <w:i/>
                  <w:sz w:val="22"/>
                  <w:szCs w:val="22"/>
                  <w:lang w:eastAsia="zh-CN"/>
                </w:rPr>
              </m:ctrlPr>
            </m:sSubPr>
            <m:e>
              <m:r>
                <m:rPr>
                  <m:sty m:val="bi"/>
                </m:rPr>
                <w:rPr>
                  <w:rFonts w:ascii="Cambria Math" w:hAnsi="Cambria Math"/>
                  <w:sz w:val="22"/>
                  <w:szCs w:val="22"/>
                  <w:lang w:eastAsia="zh-CN"/>
                </w:rPr>
                <m:t>f2∗s2∗P</m:t>
              </m:r>
              <m:ctrlPr>
                <w:rPr>
                  <w:rFonts w:ascii="Cambria Math" w:hAnsi="Cambria Math"/>
                  <w:b/>
                  <w:bCs/>
                  <w:i/>
                  <w:sz w:val="22"/>
                  <w:szCs w:val="22"/>
                  <w:lang w:eastAsia="zh-CN"/>
                </w:rPr>
              </m:ctrlPr>
            </m:e>
            <m:sub>
              <m:r>
                <m:rPr>
                  <m:sty m:val="bi"/>
                </m:rPr>
                <w:rPr>
                  <w:rFonts w:ascii="Cambria Math" w:hAnsi="Cambria Math"/>
                  <w:sz w:val="22"/>
                  <w:szCs w:val="22"/>
                  <w:lang w:eastAsia="zh-CN"/>
                </w:rPr>
                <m:t>BB</m:t>
              </m:r>
              <m:ctrlPr>
                <w:rPr>
                  <w:rFonts w:ascii="Cambria Math" w:hAnsi="Cambria Math"/>
                  <w:b/>
                  <w:bCs/>
                  <w:i/>
                  <w:sz w:val="22"/>
                  <w:szCs w:val="22"/>
                  <w:lang w:eastAsia="zh-CN"/>
                </w:rPr>
              </m:ctrlPr>
            </m:sub>
          </m:sSub>
        </m:oMath>
      </m:oMathPara>
    </w:p>
    <w:p w14:paraId="6F021189">
      <w:pPr>
        <w:pStyle w:val="5"/>
        <w:rPr>
          <w:b/>
          <w:bCs/>
          <w:i/>
          <w:iCs/>
          <w:sz w:val="22"/>
          <w:szCs w:val="22"/>
          <w:lang w:eastAsia="zh-CN"/>
        </w:rPr>
      </w:pPr>
      <w:r>
        <w:rPr>
          <w:b/>
          <w:bCs/>
          <w:i/>
          <w:iCs/>
          <w:sz w:val="22"/>
          <w:szCs w:val="22"/>
          <w:lang w:eastAsia="zh-CN"/>
        </w:rPr>
        <w:t xml:space="preserve">Wherein, the value of </w:t>
      </w:r>
      <m:oMath>
        <m:sSub>
          <m:sSubPr>
            <m:ctrlPr>
              <w:rPr>
                <w:rFonts w:ascii="DejaVu Math TeX Gyre" w:hAnsi="DejaVu Math TeX Gyre"/>
                <w:b/>
                <w:bCs/>
                <w:i/>
                <w:iCs/>
                <w:sz w:val="22"/>
                <w:szCs w:val="22"/>
                <w:lang w:eastAsia="zh-CN"/>
              </w:rPr>
            </m:ctrlPr>
          </m:sSubPr>
          <m:e>
            <m:r>
              <m:rPr>
                <m:sty m:val="bi"/>
              </m:rPr>
              <w:rPr>
                <w:rFonts w:ascii="DejaVu Math TeX Gyre" w:hAnsi="DejaVu Math TeX Gyre"/>
                <w:sz w:val="22"/>
                <w:szCs w:val="22"/>
                <w:lang w:eastAsia="zh-CN"/>
              </w:rPr>
              <m:t>P</m:t>
            </m:r>
            <m:ctrlPr>
              <w:rPr>
                <w:rFonts w:ascii="DejaVu Math TeX Gyre" w:hAnsi="DejaVu Math TeX Gyre"/>
                <w:b/>
                <w:bCs/>
                <w:i/>
                <w:iCs/>
                <w:sz w:val="22"/>
                <w:szCs w:val="22"/>
                <w:lang w:eastAsia="zh-CN"/>
              </w:rPr>
            </m:ctrlPr>
          </m:e>
          <m:sub>
            <m:r>
              <m:rPr>
                <m:sty m:val="bi"/>
              </m:rPr>
              <w:rPr>
                <w:rFonts w:ascii="DejaVu Math TeX Gyre" w:hAnsi="DejaVu Math TeX Gyre"/>
                <w:sz w:val="22"/>
                <w:szCs w:val="22"/>
                <w:lang w:eastAsia="zh-CN"/>
              </w:rPr>
              <m:t>RF</m:t>
            </m:r>
            <m:ctrlPr>
              <w:rPr>
                <w:rFonts w:ascii="DejaVu Math TeX Gyre" w:hAnsi="DejaVu Math TeX Gyre"/>
                <w:b/>
                <w:bCs/>
                <w:i/>
                <w:iCs/>
                <w:sz w:val="22"/>
                <w:szCs w:val="22"/>
                <w:lang w:eastAsia="zh-CN"/>
              </w:rPr>
            </m:ctrlPr>
          </m:sub>
        </m:sSub>
        <m:r>
          <m:rPr>
            <m:sty m:val="bi"/>
          </m:rPr>
          <w:rPr>
            <w:rFonts w:ascii="DejaVu Math TeX Gyre" w:hAnsi="DejaVu Math TeX Gyre"/>
            <w:sz w:val="22"/>
            <w:szCs w:val="22"/>
            <w:lang w:eastAsia="zh-CN"/>
          </w:rPr>
          <m:t>+</m:t>
        </m:r>
        <m:sSub>
          <m:sSubPr>
            <m:ctrlPr>
              <w:rPr>
                <w:rFonts w:ascii="DejaVu Math TeX Gyre" w:hAnsi="DejaVu Math TeX Gyre"/>
                <w:b/>
                <w:bCs/>
                <w:i/>
                <w:iCs/>
                <w:sz w:val="22"/>
                <w:szCs w:val="22"/>
                <w:lang w:eastAsia="zh-CN"/>
              </w:rPr>
            </m:ctrlPr>
          </m:sSubPr>
          <m:e>
            <m:r>
              <m:rPr>
                <m:sty m:val="bi"/>
              </m:rPr>
              <w:rPr>
                <w:rFonts w:ascii="DejaVu Math TeX Gyre" w:hAnsi="DejaVu Math TeX Gyre"/>
                <w:sz w:val="22"/>
                <w:szCs w:val="22"/>
                <w:lang w:eastAsia="zh-CN"/>
              </w:rPr>
              <m:t>P</m:t>
            </m:r>
            <m:ctrlPr>
              <w:rPr>
                <w:rFonts w:ascii="DejaVu Math TeX Gyre" w:hAnsi="DejaVu Math TeX Gyre"/>
                <w:b/>
                <w:bCs/>
                <w:i/>
                <w:iCs/>
                <w:sz w:val="22"/>
                <w:szCs w:val="22"/>
                <w:lang w:eastAsia="zh-CN"/>
              </w:rPr>
            </m:ctrlPr>
          </m:e>
          <m:sub>
            <m:r>
              <m:rPr>
                <m:sty m:val="bi"/>
              </m:rPr>
              <w:rPr>
                <w:rFonts w:ascii="DejaVu Math TeX Gyre" w:hAnsi="DejaVu Math TeX Gyre"/>
                <w:sz w:val="22"/>
                <w:szCs w:val="22"/>
                <w:lang w:eastAsia="zh-CN"/>
              </w:rPr>
              <m:t>BB</m:t>
            </m:r>
            <m:ctrlPr>
              <w:rPr>
                <w:rFonts w:ascii="DejaVu Math TeX Gyre" w:hAnsi="DejaVu Math TeX Gyre"/>
                <w:b/>
                <w:bCs/>
                <w:i/>
                <w:iCs/>
                <w:sz w:val="22"/>
                <w:szCs w:val="22"/>
                <w:lang w:eastAsia="zh-CN"/>
              </w:rPr>
            </m:ctrlPr>
          </m:sub>
        </m:sSub>
      </m:oMath>
      <w:r>
        <w:rPr>
          <w:rFonts w:hint="eastAsia"/>
          <w:b/>
          <w:bCs/>
          <w:i/>
          <w:iCs/>
          <w:sz w:val="22"/>
          <w:szCs w:val="22"/>
          <w:lang w:eastAsia="zh-CN"/>
        </w:rPr>
        <w:t xml:space="preserve"> </w:t>
      </w:r>
      <w:r>
        <w:rPr>
          <w:b/>
          <w:bCs/>
          <w:i/>
          <w:iCs/>
          <w:sz w:val="22"/>
          <w:szCs w:val="22"/>
          <w:lang w:eastAsia="zh-CN"/>
        </w:rPr>
        <w:t>equals to the relative power of the reference configuration, and</w:t>
      </w:r>
    </w:p>
    <w:p w14:paraId="3D67A995">
      <w:pPr>
        <w:pStyle w:val="5"/>
        <w:rPr>
          <w:b/>
          <w:bCs/>
          <w:i/>
          <w:iCs/>
          <w:sz w:val="22"/>
          <w:szCs w:val="22"/>
        </w:rPr>
      </w:pPr>
      <w:r>
        <w:rPr>
          <w:rFonts w:hint="default" w:ascii="Times New Roman Bold" w:hAnsi="Times New Roman Bold" w:cs="Times New Roman Bold"/>
          <w:b/>
          <w:bCs/>
          <w:i w:val="0"/>
          <w:iCs w:val="0"/>
          <w:sz w:val="22"/>
          <w:szCs w:val="22"/>
          <w:lang w:eastAsia="zh-CN"/>
        </w:rPr>
        <w:t>(t1, t2)</w:t>
      </w:r>
      <w:r>
        <w:rPr>
          <w:b/>
          <w:bCs/>
          <w:i/>
          <w:iCs/>
          <w:sz w:val="22"/>
          <w:szCs w:val="22"/>
          <w:lang w:eastAsia="zh-CN"/>
        </w:rPr>
        <w:t xml:space="preserve"> are the factors in relative to the power of RF</w:t>
      </w:r>
      <w:r>
        <w:rPr>
          <w:b/>
          <w:bCs/>
          <w:i/>
          <w:iCs/>
          <w:sz w:val="22"/>
          <w:szCs w:val="22"/>
        </w:rPr>
        <w:t xml:space="preserve"> portion and</w:t>
      </w:r>
      <w:r>
        <w:rPr>
          <w:b/>
          <w:bCs/>
          <w:i/>
          <w:iCs/>
          <w:sz w:val="22"/>
          <w:szCs w:val="22"/>
          <w:lang w:eastAsia="zh-CN"/>
        </w:rPr>
        <w:t xml:space="preserve"> the power of BB </w:t>
      </w:r>
      <w:r>
        <w:rPr>
          <w:b/>
          <w:bCs/>
          <w:i/>
          <w:iCs/>
          <w:sz w:val="22"/>
          <w:szCs w:val="22"/>
        </w:rPr>
        <w:t xml:space="preserve">portion respectively, if the </w:t>
      </w:r>
      <w:r>
        <w:rPr>
          <w:rFonts w:hint="eastAsia"/>
          <w:b/>
          <w:bCs/>
          <w:i/>
          <w:iCs/>
          <w:sz w:val="22"/>
          <w:szCs w:val="22"/>
        </w:rPr>
        <w:t>parameters</w:t>
      </w:r>
      <w:r>
        <w:rPr>
          <w:b/>
          <w:bCs/>
          <w:i/>
          <w:iCs/>
          <w:sz w:val="22"/>
          <w:szCs w:val="22"/>
        </w:rPr>
        <w:t xml:space="preserve"> in time domain is changed;</w:t>
      </w:r>
    </w:p>
    <w:p w14:paraId="4CE199DC">
      <w:pPr>
        <w:pStyle w:val="5"/>
        <w:rPr>
          <w:b/>
          <w:bCs/>
          <w:i/>
          <w:iCs/>
          <w:sz w:val="22"/>
          <w:szCs w:val="22"/>
        </w:rPr>
      </w:pPr>
      <w:r>
        <w:rPr>
          <w:rFonts w:hint="default" w:ascii="Times New Roman Bold" w:hAnsi="Times New Roman Bold" w:cs="Times New Roman Bold"/>
          <w:b/>
          <w:bCs/>
          <w:i w:val="0"/>
          <w:iCs w:val="0"/>
          <w:sz w:val="22"/>
          <w:szCs w:val="22"/>
          <w:lang w:eastAsia="zh-CN"/>
        </w:rPr>
        <w:t>(f1, f2)</w:t>
      </w:r>
      <w:r>
        <w:rPr>
          <w:b/>
          <w:bCs/>
          <w:i/>
          <w:iCs/>
          <w:sz w:val="22"/>
          <w:szCs w:val="22"/>
          <w:lang w:eastAsia="zh-CN"/>
        </w:rPr>
        <w:t xml:space="preserve"> are the factors in relative to the power of RF</w:t>
      </w:r>
      <w:r>
        <w:rPr>
          <w:b/>
          <w:bCs/>
          <w:i/>
          <w:iCs/>
          <w:sz w:val="22"/>
          <w:szCs w:val="22"/>
        </w:rPr>
        <w:t xml:space="preserve"> portion and</w:t>
      </w:r>
      <w:r>
        <w:rPr>
          <w:b/>
          <w:bCs/>
          <w:i/>
          <w:iCs/>
          <w:sz w:val="22"/>
          <w:szCs w:val="22"/>
          <w:lang w:eastAsia="zh-CN"/>
        </w:rPr>
        <w:t xml:space="preserve"> the power of BB </w:t>
      </w:r>
      <w:r>
        <w:rPr>
          <w:b/>
          <w:bCs/>
          <w:i/>
          <w:iCs/>
          <w:sz w:val="22"/>
          <w:szCs w:val="22"/>
        </w:rPr>
        <w:t xml:space="preserve">portion respectively, if the </w:t>
      </w:r>
      <w:r>
        <w:rPr>
          <w:rFonts w:hint="eastAsia"/>
          <w:b/>
          <w:bCs/>
          <w:i/>
          <w:iCs/>
          <w:sz w:val="22"/>
          <w:szCs w:val="22"/>
        </w:rPr>
        <w:t>parameters</w:t>
      </w:r>
      <w:r>
        <w:rPr>
          <w:b/>
          <w:bCs/>
          <w:i/>
          <w:iCs/>
          <w:sz w:val="22"/>
          <w:szCs w:val="22"/>
        </w:rPr>
        <w:t xml:space="preserve"> in frequency domain is changed;</w:t>
      </w:r>
    </w:p>
    <w:p w14:paraId="3D390033">
      <w:pPr>
        <w:pStyle w:val="5"/>
        <w:rPr>
          <w:i/>
          <w:iCs/>
          <w:sz w:val="22"/>
          <w:szCs w:val="22"/>
          <w:lang w:eastAsia="zh-CN"/>
        </w:rPr>
      </w:pPr>
      <w:r>
        <w:rPr>
          <w:rFonts w:hint="default" w:ascii="Times New Roman Bold" w:hAnsi="Times New Roman Bold" w:cs="Times New Roman Bold"/>
          <w:b/>
          <w:bCs/>
          <w:i w:val="0"/>
          <w:iCs w:val="0"/>
          <w:sz w:val="22"/>
          <w:szCs w:val="22"/>
          <w:lang w:eastAsia="zh-CN"/>
        </w:rPr>
        <w:t xml:space="preserve">(f1, f2) </w:t>
      </w:r>
      <w:r>
        <w:rPr>
          <w:b/>
          <w:bCs/>
          <w:i/>
          <w:iCs/>
          <w:sz w:val="22"/>
          <w:szCs w:val="22"/>
          <w:lang w:eastAsia="zh-CN"/>
        </w:rPr>
        <w:t>are the factors in relative to the power of RF</w:t>
      </w:r>
      <w:r>
        <w:rPr>
          <w:b/>
          <w:bCs/>
          <w:i/>
          <w:iCs/>
          <w:sz w:val="22"/>
          <w:szCs w:val="22"/>
        </w:rPr>
        <w:t xml:space="preserve"> portion and</w:t>
      </w:r>
      <w:r>
        <w:rPr>
          <w:b/>
          <w:bCs/>
          <w:i/>
          <w:iCs/>
          <w:sz w:val="22"/>
          <w:szCs w:val="22"/>
          <w:lang w:eastAsia="zh-CN"/>
        </w:rPr>
        <w:t xml:space="preserve"> the power of BB </w:t>
      </w:r>
      <w:r>
        <w:rPr>
          <w:b/>
          <w:bCs/>
          <w:i/>
          <w:iCs/>
          <w:sz w:val="22"/>
          <w:szCs w:val="22"/>
        </w:rPr>
        <w:t xml:space="preserve">portion respectively, if the </w:t>
      </w:r>
      <w:r>
        <w:rPr>
          <w:rFonts w:hint="eastAsia"/>
          <w:b/>
          <w:bCs/>
          <w:i/>
          <w:iCs/>
          <w:sz w:val="22"/>
          <w:szCs w:val="22"/>
        </w:rPr>
        <w:t>parameters</w:t>
      </w:r>
      <w:r>
        <w:rPr>
          <w:b/>
          <w:bCs/>
          <w:i/>
          <w:iCs/>
          <w:sz w:val="22"/>
          <w:szCs w:val="22"/>
        </w:rPr>
        <w:t xml:space="preserve"> in spatial domain is changed.</w:t>
      </w:r>
    </w:p>
    <w:p w14:paraId="748BA889">
      <w:pPr>
        <w:pStyle w:val="5"/>
        <w:rPr>
          <w:rFonts w:hint="eastAsia"/>
          <w:lang w:eastAsia="zh-CN"/>
        </w:rPr>
      </w:pPr>
    </w:p>
    <w:p w14:paraId="6DEF8536">
      <w:pPr>
        <w:pStyle w:val="4"/>
        <w:numPr>
          <w:ilvl w:val="2"/>
          <w:numId w:val="0"/>
        </w:numPr>
        <w:tabs>
          <w:tab w:val="clear" w:pos="432"/>
          <w:tab w:val="clear" w:pos="720"/>
        </w:tabs>
      </w:pPr>
      <w:r>
        <w:rPr>
          <w:lang w:eastAsia="zh-CN"/>
        </w:rPr>
        <w:t>4</w:t>
      </w:r>
      <w:r>
        <w:rPr>
          <w:rFonts w:hint="eastAsia"/>
          <w:lang w:eastAsia="zh-CN"/>
        </w:rPr>
        <w:t>.2.</w:t>
      </w:r>
      <w:r>
        <w:rPr>
          <w:lang w:eastAsia="zh-CN"/>
        </w:rPr>
        <w:t>4</w:t>
      </w:r>
      <w:r>
        <w:t xml:space="preserve"> </w:t>
      </w:r>
      <w:r>
        <w:rPr>
          <w:lang w:eastAsia="zh-CN"/>
        </w:rPr>
        <w:t>Power models for WUS/WUR</w:t>
      </w:r>
    </w:p>
    <w:p w14:paraId="5345567F">
      <w:pPr>
        <w:pStyle w:val="5"/>
        <w:rPr>
          <w:sz w:val="22"/>
          <w:szCs w:val="22"/>
          <w:lang w:eastAsia="zh-CN"/>
        </w:rPr>
      </w:pPr>
      <w:r>
        <w:rPr>
          <w:sz w:val="22"/>
          <w:szCs w:val="22"/>
          <w:lang w:eastAsia="zh-CN"/>
        </w:rPr>
        <w:t xml:space="preserve">In the last meeting, </w:t>
      </w:r>
      <w:r>
        <w:rPr>
          <w:rFonts w:eastAsia="PMingLiU" w:cs="Arial"/>
          <w:sz w:val="22"/>
          <w:szCs w:val="22"/>
          <w:lang w:eastAsia="zh-TW"/>
        </w:rPr>
        <w:t>WUS/WUR operation</w:t>
      </w:r>
      <w:r>
        <w:rPr>
          <w:sz w:val="22"/>
          <w:szCs w:val="22"/>
          <w:lang w:eastAsia="zh-CN"/>
        </w:rPr>
        <w:t xml:space="preserve"> was discussed and the power model for</w:t>
      </w:r>
      <w:r>
        <w:rPr>
          <w:rFonts w:eastAsia="PMingLiU" w:cs="Arial"/>
          <w:sz w:val="22"/>
          <w:szCs w:val="22"/>
          <w:lang w:eastAsia="zh-TW"/>
        </w:rPr>
        <w:t xml:space="preserve"> WUS/WUR operation should be further analyzed</w:t>
      </w:r>
      <w:r>
        <w:rPr>
          <w:sz w:val="22"/>
          <w:szCs w:val="22"/>
          <w:lang w:eastAsia="zh-CN"/>
        </w:rPr>
        <w:t xml:space="preserve">. As discussed in previous sections, four sleep states should be considered depending on the sleep time. And the transition energy and transition time for sleep states in </w:t>
      </w:r>
      <w:r>
        <w:rPr>
          <w:rFonts w:hint="default" w:ascii="Times New Roman" w:hAnsi="Times New Roman" w:cs="Times New Roman"/>
          <w:i w:val="0"/>
          <w:iCs w:val="0"/>
          <w:sz w:val="22"/>
          <w:szCs w:val="22"/>
          <w:highlight w:val="none"/>
          <w:lang w:eastAsia="zh-CN"/>
        </w:rPr>
        <w:t xml:space="preserve">Table </w:t>
      </w:r>
      <w:r>
        <w:rPr>
          <w:rFonts w:hint="default" w:ascii="Times New Roman" w:hAnsi="Times New Roman" w:cs="Times New Roman"/>
          <w:i w:val="0"/>
          <w:iCs w:val="0"/>
          <w:sz w:val="22"/>
          <w:szCs w:val="22"/>
          <w:highlight w:val="none"/>
          <w:lang w:val="en-US" w:eastAsia="zh-CN"/>
        </w:rPr>
        <w:t>10</w:t>
      </w:r>
      <w:r>
        <w:rPr>
          <w:sz w:val="22"/>
          <w:szCs w:val="22"/>
          <w:lang w:eastAsia="zh-CN"/>
        </w:rPr>
        <w:t xml:space="preserve"> can be considered.</w:t>
      </w:r>
    </w:p>
    <w:p w14:paraId="2AA1A6AC">
      <w:pPr>
        <w:pStyle w:val="13"/>
        <w:rPr>
          <w:rFonts w:hint="default" w:ascii="Times New Roman Italic" w:hAnsi="Times New Roman Italic" w:cs="Times New Roman Italic"/>
          <w:b w:val="0"/>
          <w:bCs w:val="0"/>
          <w:i/>
          <w:iCs/>
          <w:lang w:eastAsia="zh-CN"/>
        </w:rPr>
      </w:pPr>
      <w:r>
        <w:rPr>
          <w:rFonts w:hint="default" w:ascii="Times New Roman Italic" w:hAnsi="Times New Roman Italic" w:cs="Times New Roman Italic"/>
          <w:b w:val="0"/>
          <w:bCs w:val="0"/>
          <w:i/>
          <w:iCs/>
          <w:highlight w:val="none"/>
        </w:rPr>
        <w:t xml:space="preserve">Table </w:t>
      </w:r>
      <w:r>
        <w:rPr>
          <w:rFonts w:hint="default" w:ascii="Times New Roman Italic" w:hAnsi="Times New Roman Italic" w:cs="Times New Roman Italic"/>
          <w:b w:val="0"/>
          <w:bCs w:val="0"/>
          <w:i/>
          <w:iCs/>
          <w:highlight w:val="none"/>
          <w:lang w:val="en-US" w:eastAsia="zh-CN"/>
        </w:rPr>
        <w:t>10</w:t>
      </w:r>
      <w:r>
        <w:rPr>
          <w:rFonts w:hint="default" w:ascii="Times New Roman Italic" w:hAnsi="Times New Roman Italic" w:cs="Times New Roman Italic"/>
          <w:b w:val="0"/>
          <w:bCs w:val="0"/>
          <w:i/>
          <w:iCs/>
        </w:rPr>
        <w:t xml:space="preserve"> </w:t>
      </w:r>
      <w:r>
        <w:rPr>
          <w:rFonts w:hint="eastAsia" w:ascii="Times New Roman Italic" w:hAnsi="Times New Roman Italic" w:cs="Times New Roman Italic"/>
          <w:b w:val="0"/>
          <w:bCs w:val="0"/>
          <w:i/>
          <w:iCs/>
          <w:lang w:val="en-US" w:eastAsia="zh-CN"/>
        </w:rPr>
        <w:t>T</w:t>
      </w:r>
      <w:r>
        <w:rPr>
          <w:rFonts w:hint="default" w:ascii="Times New Roman Italic" w:hAnsi="Times New Roman Italic" w:cs="Times New Roman Italic"/>
          <w:b w:val="0"/>
          <w:bCs w:val="0"/>
          <w:i/>
          <w:iCs/>
          <w:lang w:eastAsia="zh-CN"/>
        </w:rPr>
        <w:t>ransition energy and transition time for sleep states</w:t>
      </w:r>
    </w:p>
    <w:tbl>
      <w:tblPr>
        <w:tblStyle w:val="89"/>
        <w:tblW w:w="51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418"/>
        <w:gridCol w:w="3048"/>
        <w:gridCol w:w="3340"/>
      </w:tblGrid>
      <w:tr w14:paraId="36D3FAD7">
        <w:trPr>
          <w:trHeight w:val="20" w:hRule="atLeast"/>
        </w:trPr>
        <w:tc>
          <w:tcPr>
            <w:tcW w:w="1872" w:type="dxa"/>
            <w:tcBorders>
              <w:top w:val="single" w:color="auto" w:sz="4" w:space="0"/>
              <w:left w:val="single" w:color="auto" w:sz="4" w:space="0"/>
              <w:bottom w:val="single" w:color="auto" w:sz="4" w:space="0"/>
              <w:right w:val="single" w:color="auto" w:sz="4" w:space="0"/>
            </w:tcBorders>
          </w:tcPr>
          <w:p w14:paraId="47EB24D8">
            <w:pPr>
              <w:suppressAutoHyphens/>
              <w:spacing w:line="256" w:lineRule="auto"/>
              <w:rPr>
                <w:rFonts w:ascii="CG Times (WN)" w:hAnsi="CG Times (WN)" w:eastAsia="PMingLiU" w:cs="Arial"/>
                <w:b/>
                <w:lang w:eastAsia="zh-TW"/>
              </w:rPr>
            </w:pPr>
            <w:r>
              <w:rPr>
                <w:rFonts w:ascii="CG Times (WN)" w:hAnsi="CG Times (WN)" w:eastAsia="PMingLiU" w:cs="Arial"/>
                <w:b/>
                <w:lang w:eastAsia="zh-TW"/>
              </w:rPr>
              <w:t>Sleep type</w:t>
            </w:r>
          </w:p>
        </w:tc>
        <w:tc>
          <w:tcPr>
            <w:tcW w:w="1384" w:type="dxa"/>
            <w:tcBorders>
              <w:top w:val="single" w:color="auto" w:sz="4" w:space="0"/>
              <w:left w:val="single" w:color="auto" w:sz="4" w:space="0"/>
              <w:bottom w:val="single" w:color="auto" w:sz="4" w:space="0"/>
              <w:right w:val="single" w:color="auto" w:sz="4" w:space="0"/>
            </w:tcBorders>
          </w:tcPr>
          <w:p w14:paraId="199F9652">
            <w:pPr>
              <w:suppressAutoHyphens/>
              <w:spacing w:line="256" w:lineRule="auto"/>
              <w:rPr>
                <w:rFonts w:hint="eastAsia" w:ascii="CG Times (WN)" w:hAnsi="CG Times (WN)" w:cs="Arial" w:eastAsiaTheme="minorEastAsia"/>
                <w:b/>
                <w:lang w:eastAsia="zh-CN"/>
              </w:rPr>
            </w:pPr>
            <w:r>
              <w:rPr>
                <w:rFonts w:ascii="CG Times (WN)" w:hAnsi="CG Times (WN)" w:cs="Arial" w:eastAsiaTheme="minorEastAsia"/>
                <w:b/>
                <w:lang w:eastAsia="zh-CN"/>
              </w:rPr>
              <w:t>Relative power</w:t>
            </w:r>
          </w:p>
        </w:tc>
        <w:tc>
          <w:tcPr>
            <w:tcW w:w="2976" w:type="dxa"/>
            <w:tcBorders>
              <w:top w:val="single" w:color="auto" w:sz="4" w:space="0"/>
              <w:left w:val="single" w:color="auto" w:sz="4" w:space="0"/>
              <w:bottom w:val="single" w:color="auto" w:sz="4" w:space="0"/>
              <w:right w:val="single" w:color="auto" w:sz="4" w:space="0"/>
            </w:tcBorders>
          </w:tcPr>
          <w:p w14:paraId="22F14411">
            <w:pPr>
              <w:suppressAutoHyphens/>
              <w:spacing w:line="256" w:lineRule="auto"/>
              <w:rPr>
                <w:rFonts w:ascii="CG Times (WN)" w:hAnsi="CG Times (WN)" w:eastAsia="PMingLiU" w:cs="Arial"/>
                <w:b/>
                <w:lang w:eastAsia="zh-TW"/>
              </w:rPr>
            </w:pPr>
            <w:r>
              <w:rPr>
                <w:rFonts w:ascii="CG Times (WN)" w:hAnsi="CG Times (WN)" w:eastAsia="PMingLiU" w:cs="Arial"/>
                <w:b/>
                <w:lang w:eastAsia="zh-TW"/>
              </w:rPr>
              <w:t>Additional transition energy:</w:t>
            </w:r>
          </w:p>
          <w:p w14:paraId="1CCD1299">
            <w:pPr>
              <w:suppressAutoHyphens/>
              <w:spacing w:line="256" w:lineRule="auto"/>
              <w:rPr>
                <w:rFonts w:ascii="CG Times (WN)" w:hAnsi="CG Times (WN)" w:eastAsia="PMingLiU" w:cs="Arial"/>
                <w:b/>
                <w:lang w:eastAsia="zh-TW"/>
              </w:rPr>
            </w:pPr>
            <w:r>
              <w:rPr>
                <w:rFonts w:ascii="CG Times (WN)" w:hAnsi="CG Times (WN)" w:eastAsia="PMingLiU" w:cs="Arial"/>
                <w:b/>
                <w:lang w:eastAsia="zh-TW"/>
              </w:rPr>
              <w:t xml:space="preserve">(Relative power x  ms) </w:t>
            </w:r>
          </w:p>
        </w:tc>
        <w:tc>
          <w:tcPr>
            <w:tcW w:w="3261" w:type="dxa"/>
            <w:tcBorders>
              <w:top w:val="single" w:color="auto" w:sz="4" w:space="0"/>
              <w:left w:val="single" w:color="auto" w:sz="4" w:space="0"/>
              <w:bottom w:val="single" w:color="auto" w:sz="4" w:space="0"/>
              <w:right w:val="single" w:color="auto" w:sz="4" w:space="0"/>
            </w:tcBorders>
          </w:tcPr>
          <w:p w14:paraId="024F49EF">
            <w:pPr>
              <w:suppressAutoHyphens/>
              <w:spacing w:line="256" w:lineRule="auto"/>
              <w:rPr>
                <w:rFonts w:ascii="CG Times (WN)" w:hAnsi="CG Times (WN)" w:eastAsia="PMingLiU" w:cs="Arial"/>
                <w:b/>
                <w:lang w:eastAsia="zh-TW"/>
              </w:rPr>
            </w:pPr>
            <w:r>
              <w:rPr>
                <w:rFonts w:ascii="CG Times (WN)" w:hAnsi="CG Times (WN)" w:eastAsia="PMingLiU" w:cs="Arial"/>
                <w:b/>
                <w:lang w:eastAsia="zh-TW"/>
              </w:rPr>
              <w:t xml:space="preserve">Total transition time </w:t>
            </w:r>
          </w:p>
        </w:tc>
      </w:tr>
      <w:tr w14:paraId="7A7F5FA5">
        <w:trPr>
          <w:trHeight w:val="20" w:hRule="atLeast"/>
        </w:trPr>
        <w:tc>
          <w:tcPr>
            <w:tcW w:w="1872" w:type="dxa"/>
            <w:tcBorders>
              <w:top w:val="single" w:color="auto" w:sz="4" w:space="0"/>
              <w:left w:val="single" w:color="auto" w:sz="4" w:space="0"/>
              <w:bottom w:val="single" w:color="auto" w:sz="4" w:space="0"/>
              <w:right w:val="single" w:color="auto" w:sz="4" w:space="0"/>
            </w:tcBorders>
          </w:tcPr>
          <w:p w14:paraId="7D4AD99A">
            <w:pPr>
              <w:suppressAutoHyphens/>
              <w:spacing w:line="256" w:lineRule="auto"/>
              <w:rPr>
                <w:rFonts w:ascii="CG Times (WN)" w:hAnsi="CG Times (WN)" w:eastAsia="PMingLiU" w:cs="Arial"/>
                <w:lang w:eastAsia="zh-TW"/>
              </w:rPr>
            </w:pPr>
            <w:r>
              <w:rPr>
                <w:rFonts w:ascii="CG Times (WN)" w:hAnsi="CG Times (WN)" w:eastAsia="PMingLiU" w:cs="Arial"/>
                <w:lang w:eastAsia="zh-TW"/>
              </w:rPr>
              <w:t>Ultra deep sleep 1</w:t>
            </w:r>
          </w:p>
        </w:tc>
        <w:tc>
          <w:tcPr>
            <w:tcW w:w="1384" w:type="dxa"/>
            <w:tcBorders>
              <w:top w:val="single" w:color="auto" w:sz="4" w:space="0"/>
              <w:left w:val="single" w:color="auto" w:sz="4" w:space="0"/>
              <w:bottom w:val="single" w:color="auto" w:sz="4" w:space="0"/>
              <w:right w:val="single" w:color="auto" w:sz="4" w:space="0"/>
            </w:tcBorders>
          </w:tcPr>
          <w:p w14:paraId="05FCAC43">
            <w:pPr>
              <w:suppressAutoHyphens/>
              <w:spacing w:line="256" w:lineRule="auto"/>
              <w:rPr>
                <w:rFonts w:hint="eastAsia" w:ascii="CG Times (WN)" w:hAnsi="CG Times (WN)" w:cs="Arial" w:eastAsiaTheme="minorEastAsia"/>
                <w:lang w:eastAsia="zh-CN"/>
              </w:rPr>
            </w:pPr>
            <w:r>
              <w:rPr>
                <w:rFonts w:hint="eastAsia" w:ascii="CG Times (WN)" w:hAnsi="CG Times (WN)" w:cs="Arial" w:eastAsiaTheme="minorEastAsia"/>
                <w:lang w:eastAsia="zh-CN"/>
              </w:rPr>
              <w:t>0</w:t>
            </w:r>
            <w:r>
              <w:rPr>
                <w:rFonts w:ascii="CG Times (WN)" w:hAnsi="CG Times (WN)" w:cs="Arial" w:eastAsiaTheme="minorEastAsia"/>
                <w:lang w:eastAsia="zh-CN"/>
              </w:rPr>
              <w:t>.1</w:t>
            </w:r>
          </w:p>
        </w:tc>
        <w:tc>
          <w:tcPr>
            <w:tcW w:w="2976" w:type="dxa"/>
            <w:tcBorders>
              <w:top w:val="single" w:color="auto" w:sz="4" w:space="0"/>
              <w:left w:val="single" w:color="auto" w:sz="4" w:space="0"/>
              <w:bottom w:val="single" w:color="auto" w:sz="4" w:space="0"/>
              <w:right w:val="single" w:color="auto" w:sz="4" w:space="0"/>
            </w:tcBorders>
          </w:tcPr>
          <w:p w14:paraId="3B8AF570">
            <w:pPr>
              <w:suppressAutoHyphens/>
              <w:spacing w:line="256" w:lineRule="auto"/>
              <w:rPr>
                <w:rFonts w:ascii="CG Times (WN)" w:hAnsi="CG Times (WN)" w:eastAsia="PMingLiU" w:cs="Arial"/>
                <w:lang w:eastAsia="zh-TW"/>
              </w:rPr>
            </w:pPr>
            <w:r>
              <w:rPr>
                <w:rFonts w:ascii="CG Times (WN)" w:hAnsi="CG Times (WN)" w:eastAsia="PMingLiU" w:cs="Arial"/>
                <w:lang w:eastAsia="zh-TW"/>
              </w:rPr>
              <w:t>15000</w:t>
            </w:r>
          </w:p>
        </w:tc>
        <w:tc>
          <w:tcPr>
            <w:tcW w:w="3261" w:type="dxa"/>
            <w:tcBorders>
              <w:top w:val="single" w:color="auto" w:sz="4" w:space="0"/>
              <w:left w:val="single" w:color="auto" w:sz="4" w:space="0"/>
              <w:bottom w:val="single" w:color="auto" w:sz="4" w:space="0"/>
              <w:right w:val="single" w:color="auto" w:sz="4" w:space="0"/>
            </w:tcBorders>
          </w:tcPr>
          <w:p w14:paraId="5CF69357">
            <w:pPr>
              <w:suppressAutoHyphens/>
              <w:spacing w:line="256" w:lineRule="auto"/>
              <w:rPr>
                <w:rFonts w:ascii="CG Times (WN)" w:hAnsi="CG Times (WN)" w:eastAsia="PMingLiU" w:cs="Arial"/>
                <w:lang w:eastAsia="zh-TW"/>
              </w:rPr>
            </w:pPr>
            <w:r>
              <w:rPr>
                <w:rFonts w:ascii="CG Times (WN)" w:hAnsi="CG Times (WN)" w:eastAsia="PMingLiU" w:cs="Arial"/>
                <w:lang w:eastAsia="zh-TW"/>
              </w:rPr>
              <w:t>400 ms</w:t>
            </w:r>
          </w:p>
        </w:tc>
      </w:tr>
      <w:tr w14:paraId="52887315">
        <w:trPr>
          <w:trHeight w:val="20" w:hRule="atLeast"/>
        </w:trPr>
        <w:tc>
          <w:tcPr>
            <w:tcW w:w="1872" w:type="dxa"/>
            <w:tcBorders>
              <w:top w:val="single" w:color="auto" w:sz="4" w:space="0"/>
              <w:left w:val="single" w:color="auto" w:sz="4" w:space="0"/>
              <w:bottom w:val="single" w:color="auto" w:sz="4" w:space="0"/>
              <w:right w:val="single" w:color="auto" w:sz="4" w:space="0"/>
            </w:tcBorders>
          </w:tcPr>
          <w:p w14:paraId="0385447E">
            <w:pPr>
              <w:suppressAutoHyphens/>
              <w:spacing w:line="256" w:lineRule="auto"/>
              <w:rPr>
                <w:rFonts w:ascii="CG Times (WN)" w:hAnsi="CG Times (WN)" w:eastAsia="PMingLiU" w:cs="Arial"/>
                <w:lang w:eastAsia="zh-TW"/>
              </w:rPr>
            </w:pPr>
            <w:r>
              <w:rPr>
                <w:rFonts w:ascii="CG Times (WN)" w:hAnsi="CG Times (WN)" w:eastAsia="PMingLiU" w:cs="Arial"/>
                <w:lang w:eastAsia="zh-TW"/>
              </w:rPr>
              <w:t>Ultra deep sleep 2</w:t>
            </w:r>
          </w:p>
        </w:tc>
        <w:tc>
          <w:tcPr>
            <w:tcW w:w="1384" w:type="dxa"/>
            <w:tcBorders>
              <w:top w:val="single" w:color="auto" w:sz="4" w:space="0"/>
              <w:left w:val="single" w:color="auto" w:sz="4" w:space="0"/>
              <w:bottom w:val="single" w:color="auto" w:sz="4" w:space="0"/>
              <w:right w:val="single" w:color="auto" w:sz="4" w:space="0"/>
            </w:tcBorders>
          </w:tcPr>
          <w:p w14:paraId="65C4AE1F">
            <w:pPr>
              <w:suppressAutoHyphens/>
              <w:spacing w:line="256" w:lineRule="auto"/>
              <w:rPr>
                <w:rFonts w:hint="eastAsia" w:ascii="CG Times (WN)" w:hAnsi="CG Times (WN)" w:cs="Arial" w:eastAsiaTheme="minorEastAsia"/>
                <w:lang w:eastAsia="zh-CN"/>
              </w:rPr>
            </w:pPr>
            <w:r>
              <w:rPr>
                <w:rFonts w:hint="eastAsia" w:ascii="CG Times (WN)" w:hAnsi="CG Times (WN)" w:cs="Arial" w:eastAsiaTheme="minorEastAsia"/>
                <w:lang w:eastAsia="zh-CN"/>
              </w:rPr>
              <w:t>0</w:t>
            </w:r>
            <w:r>
              <w:rPr>
                <w:rFonts w:ascii="CG Times (WN)" w:hAnsi="CG Times (WN)" w:cs="Arial" w:eastAsiaTheme="minorEastAsia"/>
                <w:lang w:eastAsia="zh-CN"/>
              </w:rPr>
              <w:t>.015</w:t>
            </w:r>
          </w:p>
        </w:tc>
        <w:tc>
          <w:tcPr>
            <w:tcW w:w="2976" w:type="dxa"/>
            <w:tcBorders>
              <w:top w:val="single" w:color="auto" w:sz="4" w:space="0"/>
              <w:left w:val="single" w:color="auto" w:sz="4" w:space="0"/>
              <w:bottom w:val="single" w:color="auto" w:sz="4" w:space="0"/>
              <w:right w:val="single" w:color="auto" w:sz="4" w:space="0"/>
            </w:tcBorders>
          </w:tcPr>
          <w:p w14:paraId="2AA13984">
            <w:pPr>
              <w:suppressAutoHyphens/>
              <w:spacing w:line="256" w:lineRule="auto"/>
              <w:rPr>
                <w:rFonts w:ascii="CG Times (WN)" w:hAnsi="CG Times (WN)" w:eastAsia="PMingLiU" w:cs="Arial"/>
                <w:lang w:eastAsia="zh-TW"/>
              </w:rPr>
            </w:pPr>
            <w:r>
              <w:rPr>
                <w:rFonts w:ascii="CG Times (WN)" w:hAnsi="CG Times (WN)" w:eastAsia="PMingLiU" w:cs="Arial"/>
                <w:lang w:eastAsia="zh-TW"/>
              </w:rPr>
              <w:t>40000</w:t>
            </w:r>
          </w:p>
        </w:tc>
        <w:tc>
          <w:tcPr>
            <w:tcW w:w="3261" w:type="dxa"/>
            <w:tcBorders>
              <w:top w:val="single" w:color="auto" w:sz="4" w:space="0"/>
              <w:left w:val="single" w:color="auto" w:sz="4" w:space="0"/>
              <w:bottom w:val="single" w:color="auto" w:sz="4" w:space="0"/>
              <w:right w:val="single" w:color="auto" w:sz="4" w:space="0"/>
            </w:tcBorders>
          </w:tcPr>
          <w:p w14:paraId="06284916">
            <w:pPr>
              <w:suppressAutoHyphens/>
              <w:spacing w:line="256" w:lineRule="auto"/>
              <w:rPr>
                <w:rFonts w:ascii="CG Times (WN)" w:hAnsi="CG Times (WN)" w:eastAsia="PMingLiU" w:cs="Arial"/>
                <w:lang w:eastAsia="zh-TW"/>
              </w:rPr>
            </w:pPr>
            <w:r>
              <w:rPr>
                <w:rFonts w:ascii="CG Times (WN)" w:hAnsi="CG Times (WN)" w:eastAsia="PMingLiU" w:cs="Arial"/>
                <w:lang w:eastAsia="zh-TW"/>
              </w:rPr>
              <w:t>800 ms</w:t>
            </w:r>
          </w:p>
        </w:tc>
      </w:tr>
      <w:tr w14:paraId="78518F0E">
        <w:trPr>
          <w:trHeight w:val="20" w:hRule="atLeast"/>
        </w:trPr>
        <w:tc>
          <w:tcPr>
            <w:tcW w:w="1872" w:type="dxa"/>
            <w:tcBorders>
              <w:top w:val="single" w:color="auto" w:sz="4" w:space="0"/>
              <w:left w:val="single" w:color="auto" w:sz="4" w:space="0"/>
              <w:bottom w:val="single" w:color="auto" w:sz="4" w:space="0"/>
              <w:right w:val="single" w:color="auto" w:sz="4" w:space="0"/>
            </w:tcBorders>
          </w:tcPr>
          <w:p w14:paraId="57B3DF45">
            <w:pPr>
              <w:suppressAutoHyphens/>
              <w:spacing w:line="256" w:lineRule="auto"/>
              <w:rPr>
                <w:rFonts w:ascii="CG Times (WN)" w:hAnsi="CG Times (WN)" w:eastAsia="PMingLiU" w:cs="Arial"/>
                <w:lang w:eastAsia="zh-TW"/>
              </w:rPr>
            </w:pPr>
            <w:r>
              <w:rPr>
                <w:rFonts w:ascii="CG Times (WN)" w:hAnsi="CG Times (WN)" w:eastAsia="PMingLiU" w:cs="Arial"/>
                <w:lang w:eastAsia="zh-TW"/>
              </w:rPr>
              <w:t xml:space="preserve">Deep sleep </w:t>
            </w:r>
          </w:p>
        </w:tc>
        <w:tc>
          <w:tcPr>
            <w:tcW w:w="1384" w:type="dxa"/>
            <w:tcBorders>
              <w:top w:val="single" w:color="auto" w:sz="4" w:space="0"/>
              <w:left w:val="single" w:color="auto" w:sz="4" w:space="0"/>
              <w:bottom w:val="single" w:color="auto" w:sz="4" w:space="0"/>
              <w:right w:val="single" w:color="auto" w:sz="4" w:space="0"/>
            </w:tcBorders>
          </w:tcPr>
          <w:p w14:paraId="78CF051A">
            <w:pPr>
              <w:suppressAutoHyphens/>
              <w:spacing w:line="256" w:lineRule="auto"/>
              <w:rPr>
                <w:rFonts w:hint="eastAsia" w:ascii="CG Times (WN)" w:hAnsi="CG Times (WN)" w:cs="Arial" w:eastAsiaTheme="minorEastAsia"/>
                <w:lang w:eastAsia="zh-CN"/>
              </w:rPr>
            </w:pPr>
            <w:r>
              <w:rPr>
                <w:rFonts w:hint="eastAsia" w:ascii="CG Times (WN)" w:hAnsi="CG Times (WN)" w:cs="Arial" w:eastAsiaTheme="minorEastAsia"/>
                <w:lang w:eastAsia="zh-CN"/>
              </w:rPr>
              <w:t>1</w:t>
            </w:r>
          </w:p>
        </w:tc>
        <w:tc>
          <w:tcPr>
            <w:tcW w:w="2976" w:type="dxa"/>
            <w:tcBorders>
              <w:top w:val="single" w:color="auto" w:sz="4" w:space="0"/>
              <w:left w:val="single" w:color="auto" w:sz="4" w:space="0"/>
              <w:bottom w:val="single" w:color="auto" w:sz="4" w:space="0"/>
              <w:right w:val="single" w:color="auto" w:sz="4" w:space="0"/>
            </w:tcBorders>
          </w:tcPr>
          <w:p w14:paraId="2A893076">
            <w:pPr>
              <w:suppressAutoHyphens/>
              <w:spacing w:line="256" w:lineRule="auto"/>
              <w:rPr>
                <w:rFonts w:ascii="CG Times (WN)" w:hAnsi="CG Times (WN)" w:eastAsia="PMingLiU" w:cs="Arial"/>
                <w:lang w:eastAsia="zh-TW"/>
              </w:rPr>
            </w:pPr>
            <w:r>
              <w:rPr>
                <w:rFonts w:ascii="CG Times (WN)" w:hAnsi="CG Times (WN)" w:eastAsia="PMingLiU" w:cs="Arial"/>
                <w:lang w:eastAsia="zh-TW"/>
              </w:rPr>
              <w:t xml:space="preserve">450 </w:t>
            </w:r>
          </w:p>
        </w:tc>
        <w:tc>
          <w:tcPr>
            <w:tcW w:w="3261" w:type="dxa"/>
            <w:tcBorders>
              <w:top w:val="single" w:color="auto" w:sz="4" w:space="0"/>
              <w:left w:val="single" w:color="auto" w:sz="4" w:space="0"/>
              <w:bottom w:val="single" w:color="auto" w:sz="4" w:space="0"/>
              <w:right w:val="single" w:color="auto" w:sz="4" w:space="0"/>
            </w:tcBorders>
          </w:tcPr>
          <w:p w14:paraId="6C14E2E6">
            <w:pPr>
              <w:suppressAutoHyphens/>
              <w:spacing w:line="256" w:lineRule="auto"/>
              <w:rPr>
                <w:rFonts w:ascii="CG Times (WN)" w:hAnsi="CG Times (WN)" w:eastAsia="PMingLiU" w:cs="Arial"/>
                <w:lang w:eastAsia="zh-TW"/>
              </w:rPr>
            </w:pPr>
            <w:r>
              <w:rPr>
                <w:rFonts w:ascii="CG Times (WN)" w:hAnsi="CG Times (WN)" w:eastAsia="PMingLiU" w:cs="Arial"/>
                <w:lang w:eastAsia="zh-TW"/>
              </w:rPr>
              <w:t xml:space="preserve">20 ms </w:t>
            </w:r>
          </w:p>
        </w:tc>
      </w:tr>
      <w:tr w14:paraId="78C8ACC2">
        <w:trPr>
          <w:trHeight w:val="20" w:hRule="atLeast"/>
        </w:trPr>
        <w:tc>
          <w:tcPr>
            <w:tcW w:w="1872" w:type="dxa"/>
            <w:tcBorders>
              <w:top w:val="single" w:color="auto" w:sz="4" w:space="0"/>
              <w:left w:val="single" w:color="auto" w:sz="4" w:space="0"/>
              <w:bottom w:val="single" w:color="auto" w:sz="4" w:space="0"/>
              <w:right w:val="single" w:color="auto" w:sz="4" w:space="0"/>
            </w:tcBorders>
          </w:tcPr>
          <w:p w14:paraId="6BEA15E0">
            <w:pPr>
              <w:suppressAutoHyphens/>
              <w:spacing w:line="256" w:lineRule="auto"/>
              <w:rPr>
                <w:rFonts w:ascii="CG Times (WN)" w:hAnsi="CG Times (WN)" w:eastAsia="PMingLiU" w:cs="Arial"/>
                <w:lang w:eastAsia="zh-TW"/>
              </w:rPr>
            </w:pPr>
            <w:r>
              <w:rPr>
                <w:rFonts w:ascii="CG Times (WN)" w:hAnsi="CG Times (WN)" w:eastAsia="PMingLiU" w:cs="Arial"/>
                <w:lang w:eastAsia="zh-TW"/>
              </w:rPr>
              <w:t xml:space="preserve">Light sleep </w:t>
            </w:r>
          </w:p>
        </w:tc>
        <w:tc>
          <w:tcPr>
            <w:tcW w:w="1384" w:type="dxa"/>
            <w:tcBorders>
              <w:top w:val="single" w:color="auto" w:sz="4" w:space="0"/>
              <w:left w:val="single" w:color="auto" w:sz="4" w:space="0"/>
              <w:bottom w:val="single" w:color="auto" w:sz="4" w:space="0"/>
              <w:right w:val="single" w:color="auto" w:sz="4" w:space="0"/>
            </w:tcBorders>
          </w:tcPr>
          <w:p w14:paraId="5FA522EA">
            <w:pPr>
              <w:suppressAutoHyphens/>
              <w:spacing w:line="256" w:lineRule="auto"/>
              <w:rPr>
                <w:rFonts w:hint="eastAsia" w:ascii="CG Times (WN)" w:hAnsi="CG Times (WN)" w:cs="Arial" w:eastAsiaTheme="minorEastAsia"/>
                <w:lang w:eastAsia="zh-CN"/>
              </w:rPr>
            </w:pPr>
            <w:r>
              <w:rPr>
                <w:rFonts w:hint="eastAsia" w:ascii="CG Times (WN)" w:hAnsi="CG Times (WN)" w:cs="Arial" w:eastAsiaTheme="minorEastAsia"/>
                <w:lang w:eastAsia="zh-CN"/>
              </w:rPr>
              <w:t>2</w:t>
            </w:r>
            <w:r>
              <w:rPr>
                <w:rFonts w:ascii="CG Times (WN)" w:hAnsi="CG Times (WN)" w:cs="Arial" w:eastAsiaTheme="minorEastAsia"/>
                <w:lang w:eastAsia="zh-CN"/>
              </w:rPr>
              <w:t>0</w:t>
            </w:r>
          </w:p>
        </w:tc>
        <w:tc>
          <w:tcPr>
            <w:tcW w:w="2976" w:type="dxa"/>
            <w:tcBorders>
              <w:top w:val="single" w:color="auto" w:sz="4" w:space="0"/>
              <w:left w:val="single" w:color="auto" w:sz="4" w:space="0"/>
              <w:bottom w:val="single" w:color="auto" w:sz="4" w:space="0"/>
              <w:right w:val="single" w:color="auto" w:sz="4" w:space="0"/>
            </w:tcBorders>
          </w:tcPr>
          <w:p w14:paraId="0E563414">
            <w:pPr>
              <w:suppressAutoHyphens/>
              <w:spacing w:line="256" w:lineRule="auto"/>
              <w:rPr>
                <w:rFonts w:ascii="CG Times (WN)" w:hAnsi="CG Times (WN)" w:eastAsia="PMingLiU" w:cs="Arial"/>
                <w:lang w:eastAsia="zh-TW"/>
              </w:rPr>
            </w:pPr>
            <w:r>
              <w:rPr>
                <w:rFonts w:ascii="CG Times (WN)" w:hAnsi="CG Times (WN)" w:eastAsia="PMingLiU" w:cs="Arial"/>
                <w:lang w:eastAsia="zh-TW"/>
              </w:rPr>
              <w:t xml:space="preserve">100 </w:t>
            </w:r>
          </w:p>
        </w:tc>
        <w:tc>
          <w:tcPr>
            <w:tcW w:w="3261" w:type="dxa"/>
            <w:tcBorders>
              <w:top w:val="single" w:color="auto" w:sz="4" w:space="0"/>
              <w:left w:val="single" w:color="auto" w:sz="4" w:space="0"/>
              <w:bottom w:val="single" w:color="auto" w:sz="4" w:space="0"/>
              <w:right w:val="single" w:color="auto" w:sz="4" w:space="0"/>
            </w:tcBorders>
          </w:tcPr>
          <w:p w14:paraId="1C18A6EE">
            <w:pPr>
              <w:suppressAutoHyphens/>
              <w:spacing w:line="256" w:lineRule="auto"/>
              <w:rPr>
                <w:rFonts w:ascii="CG Times (WN)" w:hAnsi="CG Times (WN)" w:eastAsia="PMingLiU" w:cs="Arial"/>
                <w:lang w:eastAsia="zh-TW"/>
              </w:rPr>
            </w:pPr>
            <w:r>
              <w:rPr>
                <w:rFonts w:ascii="CG Times (WN)" w:hAnsi="CG Times (WN)" w:eastAsia="PMingLiU" w:cs="Arial"/>
                <w:lang w:eastAsia="zh-TW"/>
              </w:rPr>
              <w:t xml:space="preserve">6 ms </w:t>
            </w:r>
          </w:p>
        </w:tc>
      </w:tr>
      <w:tr w14:paraId="2685E896">
        <w:trPr>
          <w:trHeight w:val="20" w:hRule="atLeast"/>
        </w:trPr>
        <w:tc>
          <w:tcPr>
            <w:tcW w:w="1872" w:type="dxa"/>
            <w:tcBorders>
              <w:top w:val="single" w:color="auto" w:sz="4" w:space="0"/>
              <w:left w:val="single" w:color="auto" w:sz="4" w:space="0"/>
              <w:bottom w:val="single" w:color="auto" w:sz="4" w:space="0"/>
              <w:right w:val="single" w:color="auto" w:sz="4" w:space="0"/>
            </w:tcBorders>
          </w:tcPr>
          <w:p w14:paraId="45988670">
            <w:pPr>
              <w:suppressAutoHyphens/>
              <w:spacing w:line="256" w:lineRule="auto"/>
              <w:rPr>
                <w:rFonts w:ascii="CG Times (WN)" w:hAnsi="CG Times (WN)" w:eastAsia="PMingLiU" w:cs="Arial"/>
                <w:lang w:eastAsia="zh-TW"/>
              </w:rPr>
            </w:pPr>
            <w:r>
              <w:rPr>
                <w:rFonts w:ascii="CG Times (WN)" w:hAnsi="CG Times (WN)" w:eastAsia="PMingLiU" w:cs="Arial"/>
                <w:lang w:eastAsia="zh-TW"/>
              </w:rPr>
              <w:t xml:space="preserve">Micro sleep </w:t>
            </w:r>
          </w:p>
        </w:tc>
        <w:tc>
          <w:tcPr>
            <w:tcW w:w="1384" w:type="dxa"/>
            <w:tcBorders>
              <w:top w:val="single" w:color="auto" w:sz="4" w:space="0"/>
              <w:left w:val="single" w:color="auto" w:sz="4" w:space="0"/>
              <w:bottom w:val="single" w:color="auto" w:sz="4" w:space="0"/>
              <w:right w:val="single" w:color="auto" w:sz="4" w:space="0"/>
            </w:tcBorders>
          </w:tcPr>
          <w:p w14:paraId="79DF2152">
            <w:pPr>
              <w:suppressAutoHyphens/>
              <w:spacing w:line="256" w:lineRule="auto"/>
              <w:rPr>
                <w:rFonts w:hint="eastAsia" w:ascii="CG Times (WN)" w:hAnsi="CG Times (WN)" w:cs="Arial" w:eastAsiaTheme="minorEastAsia"/>
                <w:lang w:eastAsia="zh-CN"/>
              </w:rPr>
            </w:pPr>
            <w:r>
              <w:rPr>
                <w:rFonts w:hint="eastAsia" w:ascii="CG Times (WN)" w:hAnsi="CG Times (WN)" w:cs="Arial" w:eastAsiaTheme="minorEastAsia"/>
                <w:lang w:eastAsia="zh-CN"/>
              </w:rPr>
              <w:t>4</w:t>
            </w:r>
            <w:r>
              <w:rPr>
                <w:rFonts w:ascii="CG Times (WN)" w:hAnsi="CG Times (WN)" w:cs="Arial" w:eastAsiaTheme="minorEastAsia"/>
                <w:lang w:eastAsia="zh-CN"/>
              </w:rPr>
              <w:t>5</w:t>
            </w:r>
          </w:p>
        </w:tc>
        <w:tc>
          <w:tcPr>
            <w:tcW w:w="2976" w:type="dxa"/>
            <w:tcBorders>
              <w:top w:val="single" w:color="auto" w:sz="4" w:space="0"/>
              <w:left w:val="single" w:color="auto" w:sz="4" w:space="0"/>
              <w:bottom w:val="single" w:color="auto" w:sz="4" w:space="0"/>
              <w:right w:val="single" w:color="auto" w:sz="4" w:space="0"/>
            </w:tcBorders>
          </w:tcPr>
          <w:p w14:paraId="076A4930">
            <w:pPr>
              <w:suppressAutoHyphens/>
              <w:spacing w:line="256" w:lineRule="auto"/>
              <w:rPr>
                <w:rFonts w:ascii="CG Times (WN)" w:hAnsi="CG Times (WN)" w:eastAsia="PMingLiU" w:cs="Arial"/>
                <w:lang w:eastAsia="zh-TW"/>
              </w:rPr>
            </w:pPr>
            <w:r>
              <w:rPr>
                <w:rFonts w:ascii="CG Times (WN)" w:hAnsi="CG Times (WN)" w:eastAsia="PMingLiU" w:cs="Arial"/>
                <w:lang w:eastAsia="zh-TW"/>
              </w:rPr>
              <w:t xml:space="preserve">0 </w:t>
            </w:r>
          </w:p>
        </w:tc>
        <w:tc>
          <w:tcPr>
            <w:tcW w:w="3261" w:type="dxa"/>
            <w:tcBorders>
              <w:top w:val="single" w:color="auto" w:sz="4" w:space="0"/>
              <w:left w:val="single" w:color="auto" w:sz="4" w:space="0"/>
              <w:bottom w:val="single" w:color="auto" w:sz="4" w:space="0"/>
              <w:right w:val="single" w:color="auto" w:sz="4" w:space="0"/>
            </w:tcBorders>
          </w:tcPr>
          <w:p w14:paraId="13866964">
            <w:pPr>
              <w:suppressAutoHyphens/>
              <w:spacing w:line="256" w:lineRule="auto"/>
              <w:rPr>
                <w:rFonts w:ascii="CG Times (WN)" w:hAnsi="CG Times (WN)" w:eastAsia="PMingLiU" w:cs="Arial"/>
                <w:lang w:eastAsia="zh-TW"/>
              </w:rPr>
            </w:pPr>
            <w:r>
              <w:rPr>
                <w:rFonts w:ascii="CG Times (WN)" w:hAnsi="CG Times (WN)" w:eastAsia="PMingLiU" w:cs="Arial"/>
                <w:lang w:eastAsia="zh-TW"/>
              </w:rPr>
              <w:t xml:space="preserve">0 ms* </w:t>
            </w:r>
          </w:p>
        </w:tc>
      </w:tr>
      <w:tr w14:paraId="6753EBC0">
        <w:trPr>
          <w:trHeight w:val="20" w:hRule="atLeast"/>
        </w:trPr>
        <w:tc>
          <w:tcPr>
            <w:tcW w:w="9493" w:type="dxa"/>
            <w:gridSpan w:val="4"/>
            <w:tcBorders>
              <w:top w:val="single" w:color="auto" w:sz="4" w:space="0"/>
              <w:left w:val="single" w:color="auto" w:sz="4" w:space="0"/>
              <w:bottom w:val="single" w:color="auto" w:sz="4" w:space="0"/>
              <w:right w:val="single" w:color="auto" w:sz="4" w:space="0"/>
            </w:tcBorders>
          </w:tcPr>
          <w:p w14:paraId="7A38925D">
            <w:pPr>
              <w:suppressAutoHyphens/>
              <w:spacing w:line="256" w:lineRule="auto"/>
              <w:rPr>
                <w:rFonts w:ascii="CG Times (WN)" w:hAnsi="CG Times (WN)" w:eastAsia="PMingLiU" w:cs="Arial"/>
                <w:lang w:eastAsia="zh-TW"/>
              </w:rPr>
            </w:pPr>
            <w:r>
              <w:rPr>
                <w:rFonts w:ascii="CG Times (WN)" w:hAnsi="CG Times (WN)" w:eastAsia="PMingLiU" w:cs="Arial"/>
                <w:lang w:eastAsia="zh-TW"/>
              </w:rPr>
              <w:t>*</w:t>
            </w:r>
            <w:r>
              <w:rPr>
                <w:rFonts w:ascii="CG Times (WN)" w:hAnsi="CG Times (WN)" w:eastAsia="PMingLiU" w:cs="Arial"/>
                <w:lang w:eastAsia="zh-TW"/>
              </w:rPr>
              <w:tab/>
            </w:r>
            <w:r>
              <w:rPr>
                <w:rFonts w:ascii="CG Times (WN)" w:hAnsi="CG Times (WN)" w:eastAsia="PMingLiU" w:cs="Arial"/>
                <w:lang w:eastAsia="zh-TW"/>
              </w:rPr>
              <w:t>Immediate transition is assumed for power saving study purpose from or to a non-sleep state</w:t>
            </w:r>
          </w:p>
        </w:tc>
      </w:tr>
    </w:tbl>
    <w:p w14:paraId="53B0F435">
      <w:pPr>
        <w:pStyle w:val="5"/>
      </w:pPr>
    </w:p>
    <w:p w14:paraId="0BA86DB1">
      <w:pPr>
        <w:pStyle w:val="5"/>
        <w:rPr>
          <w:sz w:val="22"/>
          <w:szCs w:val="22"/>
        </w:rPr>
      </w:pPr>
      <w:r>
        <w:rPr>
          <w:b/>
          <w:bCs/>
          <w:sz w:val="22"/>
          <w:szCs w:val="22"/>
          <w:lang w:eastAsia="zh-CN"/>
        </w:rPr>
        <w:t xml:space="preserve">Proposal </w:t>
      </w:r>
      <w:r>
        <w:rPr>
          <w:rFonts w:hint="eastAsia"/>
          <w:b/>
          <w:bCs/>
          <w:sz w:val="22"/>
          <w:szCs w:val="22"/>
          <w:lang w:val="en-US" w:eastAsia="zh-CN"/>
        </w:rPr>
        <w:t>18</w:t>
      </w:r>
      <w:r>
        <w:rPr>
          <w:b/>
          <w:bCs/>
          <w:sz w:val="22"/>
          <w:szCs w:val="22"/>
          <w:lang w:eastAsia="zh-CN"/>
        </w:rPr>
        <w:t xml:space="preserve">: Adopt the </w:t>
      </w:r>
      <w:r>
        <w:rPr>
          <w:rFonts w:eastAsia="PMingLiU" w:cs="Arial"/>
          <w:b/>
          <w:sz w:val="22"/>
          <w:szCs w:val="22"/>
          <w:lang w:eastAsia="zh-TW"/>
        </w:rPr>
        <w:t>transition energy and transition time</w:t>
      </w:r>
      <w:r>
        <w:rPr>
          <w:b/>
          <w:bCs/>
          <w:sz w:val="22"/>
          <w:szCs w:val="22"/>
          <w:lang w:eastAsia="zh-CN"/>
        </w:rPr>
        <w:t xml:space="preserve"> in </w:t>
      </w:r>
      <w:r>
        <w:rPr>
          <w:rFonts w:hint="default" w:ascii="Times New Roman Bold" w:hAnsi="Times New Roman Bold" w:cs="Times New Roman Bold"/>
          <w:b/>
          <w:bCs/>
          <w:sz w:val="22"/>
          <w:szCs w:val="22"/>
          <w:highlight w:val="none"/>
          <w:lang w:eastAsia="zh-CN"/>
        </w:rPr>
        <w:t xml:space="preserve">Table </w:t>
      </w:r>
      <w:r>
        <w:rPr>
          <w:rFonts w:hint="default" w:ascii="Times New Roman Bold" w:hAnsi="Times New Roman Bold" w:cs="Times New Roman Bold"/>
          <w:b/>
          <w:bCs/>
          <w:sz w:val="22"/>
          <w:szCs w:val="22"/>
          <w:highlight w:val="none"/>
          <w:lang w:val="en-US" w:eastAsia="zh-CN"/>
        </w:rPr>
        <w:t>10</w:t>
      </w:r>
      <w:r>
        <w:rPr>
          <w:b/>
          <w:bCs/>
          <w:sz w:val="22"/>
          <w:szCs w:val="22"/>
          <w:lang w:eastAsia="zh-CN"/>
        </w:rPr>
        <w:t xml:space="preserve"> for sleep states.</w:t>
      </w:r>
    </w:p>
    <w:p w14:paraId="249307BE">
      <w:pPr>
        <w:pStyle w:val="13"/>
        <w:rPr>
          <w:rFonts w:hint="default" w:ascii="Times New Roman Italic" w:hAnsi="Times New Roman Italic" w:cs="Times New Roman Italic"/>
          <w:b w:val="0"/>
          <w:bCs w:val="0"/>
          <w:i/>
          <w:iCs/>
          <w:lang w:eastAsia="zh-CN"/>
        </w:rPr>
      </w:pPr>
      <w:r>
        <w:rPr>
          <w:rFonts w:hint="default" w:ascii="Times New Roman Italic" w:hAnsi="Times New Roman Italic" w:cs="Times New Roman Italic"/>
          <w:b w:val="0"/>
          <w:bCs w:val="0"/>
          <w:i/>
          <w:iCs/>
          <w:highlight w:val="none"/>
        </w:rPr>
        <w:t xml:space="preserve">Table </w:t>
      </w:r>
      <w:r>
        <w:rPr>
          <w:rFonts w:hint="default" w:ascii="Times New Roman Italic" w:hAnsi="Times New Roman Italic" w:cs="Times New Roman Italic"/>
          <w:b w:val="0"/>
          <w:bCs w:val="0"/>
          <w:i/>
          <w:iCs/>
          <w:highlight w:val="none"/>
          <w:lang w:val="en-US" w:eastAsia="zh-CN"/>
        </w:rPr>
        <w:t>10</w:t>
      </w:r>
      <w:r>
        <w:rPr>
          <w:rFonts w:hint="default" w:ascii="Times New Roman Italic" w:hAnsi="Times New Roman Italic" w:cs="Times New Roman Italic"/>
          <w:b w:val="0"/>
          <w:bCs w:val="0"/>
          <w:i/>
          <w:iCs/>
        </w:rPr>
        <w:t xml:space="preserve"> </w:t>
      </w:r>
      <w:r>
        <w:rPr>
          <w:rFonts w:hint="eastAsia" w:ascii="Times New Roman Italic" w:hAnsi="Times New Roman Italic" w:cs="Times New Roman Italic"/>
          <w:b w:val="0"/>
          <w:bCs w:val="0"/>
          <w:i/>
          <w:iCs/>
          <w:lang w:val="en-US" w:eastAsia="zh-CN"/>
        </w:rPr>
        <w:t>T</w:t>
      </w:r>
      <w:r>
        <w:rPr>
          <w:rFonts w:hint="default" w:ascii="Times New Roman Italic" w:hAnsi="Times New Roman Italic" w:cs="Times New Roman Italic"/>
          <w:b w:val="0"/>
          <w:bCs w:val="0"/>
          <w:i/>
          <w:iCs/>
          <w:lang w:eastAsia="zh-CN"/>
        </w:rPr>
        <w:t>ransition energy and transition time for sleep states</w:t>
      </w:r>
    </w:p>
    <w:tbl>
      <w:tblPr>
        <w:tblStyle w:val="89"/>
        <w:tblW w:w="51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418"/>
        <w:gridCol w:w="3048"/>
        <w:gridCol w:w="3340"/>
      </w:tblGrid>
      <w:tr w14:paraId="2C5294A5">
        <w:trPr>
          <w:trHeight w:val="20" w:hRule="atLeast"/>
        </w:trPr>
        <w:tc>
          <w:tcPr>
            <w:tcW w:w="1872" w:type="dxa"/>
            <w:tcBorders>
              <w:top w:val="single" w:color="auto" w:sz="4" w:space="0"/>
              <w:left w:val="single" w:color="auto" w:sz="4" w:space="0"/>
              <w:bottom w:val="single" w:color="auto" w:sz="4" w:space="0"/>
              <w:right w:val="single" w:color="auto" w:sz="4" w:space="0"/>
            </w:tcBorders>
          </w:tcPr>
          <w:p w14:paraId="3129D5D7">
            <w:pPr>
              <w:suppressAutoHyphens/>
              <w:spacing w:line="256" w:lineRule="auto"/>
              <w:rPr>
                <w:rFonts w:ascii="CG Times (WN)" w:hAnsi="CG Times (WN)" w:eastAsia="PMingLiU" w:cs="Arial"/>
                <w:b/>
                <w:lang w:eastAsia="zh-TW"/>
              </w:rPr>
            </w:pPr>
            <w:r>
              <w:rPr>
                <w:rFonts w:ascii="CG Times (WN)" w:hAnsi="CG Times (WN)" w:eastAsia="PMingLiU" w:cs="Arial"/>
                <w:b/>
                <w:lang w:eastAsia="zh-TW"/>
              </w:rPr>
              <w:t>Sleep type</w:t>
            </w:r>
          </w:p>
        </w:tc>
        <w:tc>
          <w:tcPr>
            <w:tcW w:w="1384" w:type="dxa"/>
            <w:tcBorders>
              <w:top w:val="single" w:color="auto" w:sz="4" w:space="0"/>
              <w:left w:val="single" w:color="auto" w:sz="4" w:space="0"/>
              <w:bottom w:val="single" w:color="auto" w:sz="4" w:space="0"/>
              <w:right w:val="single" w:color="auto" w:sz="4" w:space="0"/>
            </w:tcBorders>
          </w:tcPr>
          <w:p w14:paraId="75270F58">
            <w:pPr>
              <w:suppressAutoHyphens/>
              <w:spacing w:line="256" w:lineRule="auto"/>
              <w:rPr>
                <w:rFonts w:hint="eastAsia" w:ascii="CG Times (WN)" w:hAnsi="CG Times (WN)" w:cs="Arial" w:eastAsiaTheme="minorEastAsia"/>
                <w:b/>
                <w:lang w:eastAsia="zh-CN"/>
              </w:rPr>
            </w:pPr>
            <w:r>
              <w:rPr>
                <w:rFonts w:ascii="CG Times (WN)" w:hAnsi="CG Times (WN)" w:cs="Arial" w:eastAsiaTheme="minorEastAsia"/>
                <w:b/>
                <w:lang w:eastAsia="zh-CN"/>
              </w:rPr>
              <w:t>Relative power</w:t>
            </w:r>
          </w:p>
        </w:tc>
        <w:tc>
          <w:tcPr>
            <w:tcW w:w="2976" w:type="dxa"/>
            <w:tcBorders>
              <w:top w:val="single" w:color="auto" w:sz="4" w:space="0"/>
              <w:left w:val="single" w:color="auto" w:sz="4" w:space="0"/>
              <w:bottom w:val="single" w:color="auto" w:sz="4" w:space="0"/>
              <w:right w:val="single" w:color="auto" w:sz="4" w:space="0"/>
            </w:tcBorders>
          </w:tcPr>
          <w:p w14:paraId="7D473D45">
            <w:pPr>
              <w:suppressAutoHyphens/>
              <w:spacing w:line="256" w:lineRule="auto"/>
              <w:rPr>
                <w:rFonts w:ascii="CG Times (WN)" w:hAnsi="CG Times (WN)" w:eastAsia="PMingLiU" w:cs="Arial"/>
                <w:b/>
                <w:lang w:eastAsia="zh-TW"/>
              </w:rPr>
            </w:pPr>
            <w:r>
              <w:rPr>
                <w:rFonts w:ascii="CG Times (WN)" w:hAnsi="CG Times (WN)" w:eastAsia="PMingLiU" w:cs="Arial"/>
                <w:b/>
                <w:lang w:eastAsia="zh-TW"/>
              </w:rPr>
              <w:t>Additional transition energy:</w:t>
            </w:r>
          </w:p>
          <w:p w14:paraId="0DFA2955">
            <w:pPr>
              <w:suppressAutoHyphens/>
              <w:spacing w:line="256" w:lineRule="auto"/>
              <w:rPr>
                <w:rFonts w:ascii="CG Times (WN)" w:hAnsi="CG Times (WN)" w:eastAsia="PMingLiU" w:cs="Arial"/>
                <w:b/>
                <w:lang w:eastAsia="zh-TW"/>
              </w:rPr>
            </w:pPr>
            <w:r>
              <w:rPr>
                <w:rFonts w:ascii="CG Times (WN)" w:hAnsi="CG Times (WN)" w:eastAsia="PMingLiU" w:cs="Arial"/>
                <w:b/>
                <w:lang w:eastAsia="zh-TW"/>
              </w:rPr>
              <w:t xml:space="preserve">(Relative power x  ms) </w:t>
            </w:r>
          </w:p>
        </w:tc>
        <w:tc>
          <w:tcPr>
            <w:tcW w:w="3261" w:type="dxa"/>
            <w:tcBorders>
              <w:top w:val="single" w:color="auto" w:sz="4" w:space="0"/>
              <w:left w:val="single" w:color="auto" w:sz="4" w:space="0"/>
              <w:bottom w:val="single" w:color="auto" w:sz="4" w:space="0"/>
              <w:right w:val="single" w:color="auto" w:sz="4" w:space="0"/>
            </w:tcBorders>
          </w:tcPr>
          <w:p w14:paraId="6A1C7744">
            <w:pPr>
              <w:suppressAutoHyphens/>
              <w:spacing w:line="256" w:lineRule="auto"/>
              <w:rPr>
                <w:rFonts w:ascii="CG Times (WN)" w:hAnsi="CG Times (WN)" w:eastAsia="PMingLiU" w:cs="Arial"/>
                <w:b/>
                <w:lang w:eastAsia="zh-TW"/>
              </w:rPr>
            </w:pPr>
            <w:r>
              <w:rPr>
                <w:rFonts w:ascii="CG Times (WN)" w:hAnsi="CG Times (WN)" w:eastAsia="PMingLiU" w:cs="Arial"/>
                <w:b/>
                <w:lang w:eastAsia="zh-TW"/>
              </w:rPr>
              <w:t xml:space="preserve">Total transition time </w:t>
            </w:r>
          </w:p>
        </w:tc>
      </w:tr>
      <w:tr w14:paraId="24965C90">
        <w:trPr>
          <w:trHeight w:val="20" w:hRule="atLeast"/>
        </w:trPr>
        <w:tc>
          <w:tcPr>
            <w:tcW w:w="1872" w:type="dxa"/>
            <w:tcBorders>
              <w:top w:val="single" w:color="auto" w:sz="4" w:space="0"/>
              <w:left w:val="single" w:color="auto" w:sz="4" w:space="0"/>
              <w:bottom w:val="single" w:color="auto" w:sz="4" w:space="0"/>
              <w:right w:val="single" w:color="auto" w:sz="4" w:space="0"/>
            </w:tcBorders>
          </w:tcPr>
          <w:p w14:paraId="29EA4569">
            <w:pPr>
              <w:suppressAutoHyphens/>
              <w:spacing w:line="256" w:lineRule="auto"/>
              <w:rPr>
                <w:rFonts w:ascii="CG Times (WN)" w:hAnsi="CG Times (WN)" w:eastAsia="PMingLiU" w:cs="Arial"/>
                <w:lang w:eastAsia="zh-TW"/>
              </w:rPr>
            </w:pPr>
            <w:r>
              <w:rPr>
                <w:rFonts w:ascii="CG Times (WN)" w:hAnsi="CG Times (WN)" w:eastAsia="PMingLiU" w:cs="Arial"/>
                <w:lang w:eastAsia="zh-TW"/>
              </w:rPr>
              <w:t>Ultra deep sleep 1</w:t>
            </w:r>
          </w:p>
        </w:tc>
        <w:tc>
          <w:tcPr>
            <w:tcW w:w="1384" w:type="dxa"/>
            <w:tcBorders>
              <w:top w:val="single" w:color="auto" w:sz="4" w:space="0"/>
              <w:left w:val="single" w:color="auto" w:sz="4" w:space="0"/>
              <w:bottom w:val="single" w:color="auto" w:sz="4" w:space="0"/>
              <w:right w:val="single" w:color="auto" w:sz="4" w:space="0"/>
            </w:tcBorders>
          </w:tcPr>
          <w:p w14:paraId="759C1CE8">
            <w:pPr>
              <w:suppressAutoHyphens/>
              <w:spacing w:line="256" w:lineRule="auto"/>
              <w:rPr>
                <w:rFonts w:hint="eastAsia" w:ascii="CG Times (WN)" w:hAnsi="CG Times (WN)" w:cs="Arial" w:eastAsiaTheme="minorEastAsia"/>
                <w:lang w:eastAsia="zh-CN"/>
              </w:rPr>
            </w:pPr>
            <w:r>
              <w:rPr>
                <w:rFonts w:hint="eastAsia" w:ascii="CG Times (WN)" w:hAnsi="CG Times (WN)" w:cs="Arial" w:eastAsiaTheme="minorEastAsia"/>
                <w:lang w:eastAsia="zh-CN"/>
              </w:rPr>
              <w:t>0</w:t>
            </w:r>
            <w:r>
              <w:rPr>
                <w:rFonts w:ascii="CG Times (WN)" w:hAnsi="CG Times (WN)" w:cs="Arial" w:eastAsiaTheme="minorEastAsia"/>
                <w:lang w:eastAsia="zh-CN"/>
              </w:rPr>
              <w:t>.1</w:t>
            </w:r>
          </w:p>
        </w:tc>
        <w:tc>
          <w:tcPr>
            <w:tcW w:w="2976" w:type="dxa"/>
            <w:tcBorders>
              <w:top w:val="single" w:color="auto" w:sz="4" w:space="0"/>
              <w:left w:val="single" w:color="auto" w:sz="4" w:space="0"/>
              <w:bottom w:val="single" w:color="auto" w:sz="4" w:space="0"/>
              <w:right w:val="single" w:color="auto" w:sz="4" w:space="0"/>
            </w:tcBorders>
          </w:tcPr>
          <w:p w14:paraId="0745401B">
            <w:pPr>
              <w:suppressAutoHyphens/>
              <w:spacing w:line="256" w:lineRule="auto"/>
              <w:rPr>
                <w:rFonts w:ascii="CG Times (WN)" w:hAnsi="CG Times (WN)" w:eastAsia="PMingLiU" w:cs="Arial"/>
                <w:lang w:eastAsia="zh-TW"/>
              </w:rPr>
            </w:pPr>
            <w:r>
              <w:rPr>
                <w:rFonts w:ascii="CG Times (WN)" w:hAnsi="CG Times (WN)" w:eastAsia="PMingLiU" w:cs="Arial"/>
                <w:lang w:eastAsia="zh-TW"/>
              </w:rPr>
              <w:t>15000</w:t>
            </w:r>
          </w:p>
        </w:tc>
        <w:tc>
          <w:tcPr>
            <w:tcW w:w="3261" w:type="dxa"/>
            <w:tcBorders>
              <w:top w:val="single" w:color="auto" w:sz="4" w:space="0"/>
              <w:left w:val="single" w:color="auto" w:sz="4" w:space="0"/>
              <w:bottom w:val="single" w:color="auto" w:sz="4" w:space="0"/>
              <w:right w:val="single" w:color="auto" w:sz="4" w:space="0"/>
            </w:tcBorders>
          </w:tcPr>
          <w:p w14:paraId="6727B370">
            <w:pPr>
              <w:suppressAutoHyphens/>
              <w:spacing w:line="256" w:lineRule="auto"/>
              <w:rPr>
                <w:rFonts w:ascii="CG Times (WN)" w:hAnsi="CG Times (WN)" w:eastAsia="PMingLiU" w:cs="Arial"/>
                <w:lang w:eastAsia="zh-TW"/>
              </w:rPr>
            </w:pPr>
            <w:r>
              <w:rPr>
                <w:rFonts w:ascii="CG Times (WN)" w:hAnsi="CG Times (WN)" w:eastAsia="PMingLiU" w:cs="Arial"/>
                <w:lang w:eastAsia="zh-TW"/>
              </w:rPr>
              <w:t>400 ms</w:t>
            </w:r>
          </w:p>
        </w:tc>
      </w:tr>
      <w:tr w14:paraId="28A52274">
        <w:trPr>
          <w:trHeight w:val="20" w:hRule="atLeast"/>
        </w:trPr>
        <w:tc>
          <w:tcPr>
            <w:tcW w:w="1872" w:type="dxa"/>
            <w:tcBorders>
              <w:top w:val="single" w:color="auto" w:sz="4" w:space="0"/>
              <w:left w:val="single" w:color="auto" w:sz="4" w:space="0"/>
              <w:bottom w:val="single" w:color="auto" w:sz="4" w:space="0"/>
              <w:right w:val="single" w:color="auto" w:sz="4" w:space="0"/>
            </w:tcBorders>
          </w:tcPr>
          <w:p w14:paraId="7DE61B33">
            <w:pPr>
              <w:suppressAutoHyphens/>
              <w:spacing w:line="256" w:lineRule="auto"/>
              <w:rPr>
                <w:rFonts w:ascii="CG Times (WN)" w:hAnsi="CG Times (WN)" w:eastAsia="PMingLiU" w:cs="Arial"/>
                <w:lang w:eastAsia="zh-TW"/>
              </w:rPr>
            </w:pPr>
            <w:r>
              <w:rPr>
                <w:rFonts w:ascii="CG Times (WN)" w:hAnsi="CG Times (WN)" w:eastAsia="PMingLiU" w:cs="Arial"/>
                <w:lang w:eastAsia="zh-TW"/>
              </w:rPr>
              <w:t>Ultra deep sleep 2</w:t>
            </w:r>
          </w:p>
        </w:tc>
        <w:tc>
          <w:tcPr>
            <w:tcW w:w="1384" w:type="dxa"/>
            <w:tcBorders>
              <w:top w:val="single" w:color="auto" w:sz="4" w:space="0"/>
              <w:left w:val="single" w:color="auto" w:sz="4" w:space="0"/>
              <w:bottom w:val="single" w:color="auto" w:sz="4" w:space="0"/>
              <w:right w:val="single" w:color="auto" w:sz="4" w:space="0"/>
            </w:tcBorders>
          </w:tcPr>
          <w:p w14:paraId="322F2EB8">
            <w:pPr>
              <w:suppressAutoHyphens/>
              <w:spacing w:line="256" w:lineRule="auto"/>
              <w:rPr>
                <w:rFonts w:hint="eastAsia" w:ascii="CG Times (WN)" w:hAnsi="CG Times (WN)" w:cs="Arial" w:eastAsiaTheme="minorEastAsia"/>
                <w:lang w:eastAsia="zh-CN"/>
              </w:rPr>
            </w:pPr>
            <w:r>
              <w:rPr>
                <w:rFonts w:hint="eastAsia" w:ascii="CG Times (WN)" w:hAnsi="CG Times (WN)" w:cs="Arial" w:eastAsiaTheme="minorEastAsia"/>
                <w:lang w:eastAsia="zh-CN"/>
              </w:rPr>
              <w:t>0</w:t>
            </w:r>
            <w:r>
              <w:rPr>
                <w:rFonts w:ascii="CG Times (WN)" w:hAnsi="CG Times (WN)" w:cs="Arial" w:eastAsiaTheme="minorEastAsia"/>
                <w:lang w:eastAsia="zh-CN"/>
              </w:rPr>
              <w:t>.015</w:t>
            </w:r>
          </w:p>
        </w:tc>
        <w:tc>
          <w:tcPr>
            <w:tcW w:w="2976" w:type="dxa"/>
            <w:tcBorders>
              <w:top w:val="single" w:color="auto" w:sz="4" w:space="0"/>
              <w:left w:val="single" w:color="auto" w:sz="4" w:space="0"/>
              <w:bottom w:val="single" w:color="auto" w:sz="4" w:space="0"/>
              <w:right w:val="single" w:color="auto" w:sz="4" w:space="0"/>
            </w:tcBorders>
          </w:tcPr>
          <w:p w14:paraId="5B9972B6">
            <w:pPr>
              <w:suppressAutoHyphens/>
              <w:spacing w:line="256" w:lineRule="auto"/>
              <w:rPr>
                <w:rFonts w:ascii="CG Times (WN)" w:hAnsi="CG Times (WN)" w:eastAsia="PMingLiU" w:cs="Arial"/>
                <w:lang w:eastAsia="zh-TW"/>
              </w:rPr>
            </w:pPr>
            <w:r>
              <w:rPr>
                <w:rFonts w:ascii="CG Times (WN)" w:hAnsi="CG Times (WN)" w:eastAsia="PMingLiU" w:cs="Arial"/>
                <w:lang w:eastAsia="zh-TW"/>
              </w:rPr>
              <w:t>40000</w:t>
            </w:r>
          </w:p>
        </w:tc>
        <w:tc>
          <w:tcPr>
            <w:tcW w:w="3261" w:type="dxa"/>
            <w:tcBorders>
              <w:top w:val="single" w:color="auto" w:sz="4" w:space="0"/>
              <w:left w:val="single" w:color="auto" w:sz="4" w:space="0"/>
              <w:bottom w:val="single" w:color="auto" w:sz="4" w:space="0"/>
              <w:right w:val="single" w:color="auto" w:sz="4" w:space="0"/>
            </w:tcBorders>
          </w:tcPr>
          <w:p w14:paraId="0E39378F">
            <w:pPr>
              <w:suppressAutoHyphens/>
              <w:spacing w:line="256" w:lineRule="auto"/>
              <w:rPr>
                <w:rFonts w:ascii="CG Times (WN)" w:hAnsi="CG Times (WN)" w:eastAsia="PMingLiU" w:cs="Arial"/>
                <w:lang w:eastAsia="zh-TW"/>
              </w:rPr>
            </w:pPr>
            <w:r>
              <w:rPr>
                <w:rFonts w:ascii="CG Times (WN)" w:hAnsi="CG Times (WN)" w:eastAsia="PMingLiU" w:cs="Arial"/>
                <w:lang w:eastAsia="zh-TW"/>
              </w:rPr>
              <w:t>800 ms</w:t>
            </w:r>
          </w:p>
        </w:tc>
      </w:tr>
      <w:tr w14:paraId="2A7CEFDA">
        <w:trPr>
          <w:trHeight w:val="20" w:hRule="atLeast"/>
        </w:trPr>
        <w:tc>
          <w:tcPr>
            <w:tcW w:w="1872" w:type="dxa"/>
            <w:tcBorders>
              <w:top w:val="single" w:color="auto" w:sz="4" w:space="0"/>
              <w:left w:val="single" w:color="auto" w:sz="4" w:space="0"/>
              <w:bottom w:val="single" w:color="auto" w:sz="4" w:space="0"/>
              <w:right w:val="single" w:color="auto" w:sz="4" w:space="0"/>
            </w:tcBorders>
          </w:tcPr>
          <w:p w14:paraId="1CA45531">
            <w:pPr>
              <w:suppressAutoHyphens/>
              <w:spacing w:line="256" w:lineRule="auto"/>
              <w:rPr>
                <w:rFonts w:ascii="CG Times (WN)" w:hAnsi="CG Times (WN)" w:eastAsia="PMingLiU" w:cs="Arial"/>
                <w:lang w:eastAsia="zh-TW"/>
              </w:rPr>
            </w:pPr>
            <w:r>
              <w:rPr>
                <w:rFonts w:ascii="CG Times (WN)" w:hAnsi="CG Times (WN)" w:eastAsia="PMingLiU" w:cs="Arial"/>
                <w:lang w:eastAsia="zh-TW"/>
              </w:rPr>
              <w:t xml:space="preserve">Deep sleep </w:t>
            </w:r>
          </w:p>
        </w:tc>
        <w:tc>
          <w:tcPr>
            <w:tcW w:w="1384" w:type="dxa"/>
            <w:tcBorders>
              <w:top w:val="single" w:color="auto" w:sz="4" w:space="0"/>
              <w:left w:val="single" w:color="auto" w:sz="4" w:space="0"/>
              <w:bottom w:val="single" w:color="auto" w:sz="4" w:space="0"/>
              <w:right w:val="single" w:color="auto" w:sz="4" w:space="0"/>
            </w:tcBorders>
          </w:tcPr>
          <w:p w14:paraId="0986AA3E">
            <w:pPr>
              <w:suppressAutoHyphens/>
              <w:spacing w:line="256" w:lineRule="auto"/>
              <w:rPr>
                <w:rFonts w:hint="eastAsia" w:ascii="CG Times (WN)" w:hAnsi="CG Times (WN)" w:cs="Arial" w:eastAsiaTheme="minorEastAsia"/>
                <w:lang w:eastAsia="zh-CN"/>
              </w:rPr>
            </w:pPr>
            <w:r>
              <w:rPr>
                <w:rFonts w:hint="eastAsia" w:ascii="CG Times (WN)" w:hAnsi="CG Times (WN)" w:cs="Arial" w:eastAsiaTheme="minorEastAsia"/>
                <w:lang w:eastAsia="zh-CN"/>
              </w:rPr>
              <w:t>1</w:t>
            </w:r>
          </w:p>
        </w:tc>
        <w:tc>
          <w:tcPr>
            <w:tcW w:w="2976" w:type="dxa"/>
            <w:tcBorders>
              <w:top w:val="single" w:color="auto" w:sz="4" w:space="0"/>
              <w:left w:val="single" w:color="auto" w:sz="4" w:space="0"/>
              <w:bottom w:val="single" w:color="auto" w:sz="4" w:space="0"/>
              <w:right w:val="single" w:color="auto" w:sz="4" w:space="0"/>
            </w:tcBorders>
          </w:tcPr>
          <w:p w14:paraId="17015A9F">
            <w:pPr>
              <w:suppressAutoHyphens/>
              <w:spacing w:line="256" w:lineRule="auto"/>
              <w:rPr>
                <w:rFonts w:ascii="CG Times (WN)" w:hAnsi="CG Times (WN)" w:eastAsia="PMingLiU" w:cs="Arial"/>
                <w:lang w:eastAsia="zh-TW"/>
              </w:rPr>
            </w:pPr>
            <w:r>
              <w:rPr>
                <w:rFonts w:ascii="CG Times (WN)" w:hAnsi="CG Times (WN)" w:eastAsia="PMingLiU" w:cs="Arial"/>
                <w:lang w:eastAsia="zh-TW"/>
              </w:rPr>
              <w:t xml:space="preserve">450 </w:t>
            </w:r>
          </w:p>
        </w:tc>
        <w:tc>
          <w:tcPr>
            <w:tcW w:w="3261" w:type="dxa"/>
            <w:tcBorders>
              <w:top w:val="single" w:color="auto" w:sz="4" w:space="0"/>
              <w:left w:val="single" w:color="auto" w:sz="4" w:space="0"/>
              <w:bottom w:val="single" w:color="auto" w:sz="4" w:space="0"/>
              <w:right w:val="single" w:color="auto" w:sz="4" w:space="0"/>
            </w:tcBorders>
          </w:tcPr>
          <w:p w14:paraId="3FA9529D">
            <w:pPr>
              <w:suppressAutoHyphens/>
              <w:spacing w:line="256" w:lineRule="auto"/>
              <w:rPr>
                <w:rFonts w:ascii="CG Times (WN)" w:hAnsi="CG Times (WN)" w:eastAsia="PMingLiU" w:cs="Arial"/>
                <w:lang w:eastAsia="zh-TW"/>
              </w:rPr>
            </w:pPr>
            <w:r>
              <w:rPr>
                <w:rFonts w:ascii="CG Times (WN)" w:hAnsi="CG Times (WN)" w:eastAsia="PMingLiU" w:cs="Arial"/>
                <w:lang w:eastAsia="zh-TW"/>
              </w:rPr>
              <w:t xml:space="preserve">20 ms </w:t>
            </w:r>
          </w:p>
        </w:tc>
      </w:tr>
      <w:tr w14:paraId="299891FA">
        <w:trPr>
          <w:trHeight w:val="20" w:hRule="atLeast"/>
        </w:trPr>
        <w:tc>
          <w:tcPr>
            <w:tcW w:w="1872" w:type="dxa"/>
            <w:tcBorders>
              <w:top w:val="single" w:color="auto" w:sz="4" w:space="0"/>
              <w:left w:val="single" w:color="auto" w:sz="4" w:space="0"/>
              <w:bottom w:val="single" w:color="auto" w:sz="4" w:space="0"/>
              <w:right w:val="single" w:color="auto" w:sz="4" w:space="0"/>
            </w:tcBorders>
          </w:tcPr>
          <w:p w14:paraId="7E5FF4D1">
            <w:pPr>
              <w:suppressAutoHyphens/>
              <w:spacing w:line="256" w:lineRule="auto"/>
              <w:rPr>
                <w:rFonts w:ascii="CG Times (WN)" w:hAnsi="CG Times (WN)" w:eastAsia="PMingLiU" w:cs="Arial"/>
                <w:lang w:eastAsia="zh-TW"/>
              </w:rPr>
            </w:pPr>
            <w:r>
              <w:rPr>
                <w:rFonts w:ascii="CG Times (WN)" w:hAnsi="CG Times (WN)" w:eastAsia="PMingLiU" w:cs="Arial"/>
                <w:lang w:eastAsia="zh-TW"/>
              </w:rPr>
              <w:t xml:space="preserve">Light sleep </w:t>
            </w:r>
          </w:p>
        </w:tc>
        <w:tc>
          <w:tcPr>
            <w:tcW w:w="1384" w:type="dxa"/>
            <w:tcBorders>
              <w:top w:val="single" w:color="auto" w:sz="4" w:space="0"/>
              <w:left w:val="single" w:color="auto" w:sz="4" w:space="0"/>
              <w:bottom w:val="single" w:color="auto" w:sz="4" w:space="0"/>
              <w:right w:val="single" w:color="auto" w:sz="4" w:space="0"/>
            </w:tcBorders>
          </w:tcPr>
          <w:p w14:paraId="387281B4">
            <w:pPr>
              <w:suppressAutoHyphens/>
              <w:spacing w:line="256" w:lineRule="auto"/>
              <w:rPr>
                <w:rFonts w:hint="eastAsia" w:ascii="CG Times (WN)" w:hAnsi="CG Times (WN)" w:cs="Arial" w:eastAsiaTheme="minorEastAsia"/>
                <w:lang w:eastAsia="zh-CN"/>
              </w:rPr>
            </w:pPr>
            <w:r>
              <w:rPr>
                <w:rFonts w:hint="eastAsia" w:ascii="CG Times (WN)" w:hAnsi="CG Times (WN)" w:cs="Arial" w:eastAsiaTheme="minorEastAsia"/>
                <w:lang w:eastAsia="zh-CN"/>
              </w:rPr>
              <w:t>2</w:t>
            </w:r>
            <w:r>
              <w:rPr>
                <w:rFonts w:ascii="CG Times (WN)" w:hAnsi="CG Times (WN)" w:cs="Arial" w:eastAsiaTheme="minorEastAsia"/>
                <w:lang w:eastAsia="zh-CN"/>
              </w:rPr>
              <w:t>0</w:t>
            </w:r>
          </w:p>
        </w:tc>
        <w:tc>
          <w:tcPr>
            <w:tcW w:w="2976" w:type="dxa"/>
            <w:tcBorders>
              <w:top w:val="single" w:color="auto" w:sz="4" w:space="0"/>
              <w:left w:val="single" w:color="auto" w:sz="4" w:space="0"/>
              <w:bottom w:val="single" w:color="auto" w:sz="4" w:space="0"/>
              <w:right w:val="single" w:color="auto" w:sz="4" w:space="0"/>
            </w:tcBorders>
          </w:tcPr>
          <w:p w14:paraId="2DA986A0">
            <w:pPr>
              <w:suppressAutoHyphens/>
              <w:spacing w:line="256" w:lineRule="auto"/>
              <w:rPr>
                <w:rFonts w:ascii="CG Times (WN)" w:hAnsi="CG Times (WN)" w:eastAsia="PMingLiU" w:cs="Arial"/>
                <w:lang w:eastAsia="zh-TW"/>
              </w:rPr>
            </w:pPr>
            <w:r>
              <w:rPr>
                <w:rFonts w:ascii="CG Times (WN)" w:hAnsi="CG Times (WN)" w:eastAsia="PMingLiU" w:cs="Arial"/>
                <w:lang w:eastAsia="zh-TW"/>
              </w:rPr>
              <w:t xml:space="preserve">100 </w:t>
            </w:r>
          </w:p>
        </w:tc>
        <w:tc>
          <w:tcPr>
            <w:tcW w:w="3261" w:type="dxa"/>
            <w:tcBorders>
              <w:top w:val="single" w:color="auto" w:sz="4" w:space="0"/>
              <w:left w:val="single" w:color="auto" w:sz="4" w:space="0"/>
              <w:bottom w:val="single" w:color="auto" w:sz="4" w:space="0"/>
              <w:right w:val="single" w:color="auto" w:sz="4" w:space="0"/>
            </w:tcBorders>
          </w:tcPr>
          <w:p w14:paraId="6E851EE9">
            <w:pPr>
              <w:suppressAutoHyphens/>
              <w:spacing w:line="256" w:lineRule="auto"/>
              <w:rPr>
                <w:rFonts w:ascii="CG Times (WN)" w:hAnsi="CG Times (WN)" w:eastAsia="PMingLiU" w:cs="Arial"/>
                <w:lang w:eastAsia="zh-TW"/>
              </w:rPr>
            </w:pPr>
            <w:r>
              <w:rPr>
                <w:rFonts w:ascii="CG Times (WN)" w:hAnsi="CG Times (WN)" w:eastAsia="PMingLiU" w:cs="Arial"/>
                <w:lang w:eastAsia="zh-TW"/>
              </w:rPr>
              <w:t xml:space="preserve">6 ms </w:t>
            </w:r>
          </w:p>
        </w:tc>
      </w:tr>
      <w:tr w14:paraId="30D3FD78">
        <w:trPr>
          <w:trHeight w:val="20" w:hRule="atLeast"/>
        </w:trPr>
        <w:tc>
          <w:tcPr>
            <w:tcW w:w="1872" w:type="dxa"/>
            <w:tcBorders>
              <w:top w:val="single" w:color="auto" w:sz="4" w:space="0"/>
              <w:left w:val="single" w:color="auto" w:sz="4" w:space="0"/>
              <w:bottom w:val="single" w:color="auto" w:sz="4" w:space="0"/>
              <w:right w:val="single" w:color="auto" w:sz="4" w:space="0"/>
            </w:tcBorders>
          </w:tcPr>
          <w:p w14:paraId="136EDF76">
            <w:pPr>
              <w:suppressAutoHyphens/>
              <w:spacing w:line="256" w:lineRule="auto"/>
              <w:rPr>
                <w:rFonts w:ascii="CG Times (WN)" w:hAnsi="CG Times (WN)" w:eastAsia="PMingLiU" w:cs="Arial"/>
                <w:lang w:eastAsia="zh-TW"/>
              </w:rPr>
            </w:pPr>
            <w:r>
              <w:rPr>
                <w:rFonts w:ascii="CG Times (WN)" w:hAnsi="CG Times (WN)" w:eastAsia="PMingLiU" w:cs="Arial"/>
                <w:lang w:eastAsia="zh-TW"/>
              </w:rPr>
              <w:t xml:space="preserve">Micro sleep </w:t>
            </w:r>
          </w:p>
        </w:tc>
        <w:tc>
          <w:tcPr>
            <w:tcW w:w="1384" w:type="dxa"/>
            <w:tcBorders>
              <w:top w:val="single" w:color="auto" w:sz="4" w:space="0"/>
              <w:left w:val="single" w:color="auto" w:sz="4" w:space="0"/>
              <w:bottom w:val="single" w:color="auto" w:sz="4" w:space="0"/>
              <w:right w:val="single" w:color="auto" w:sz="4" w:space="0"/>
            </w:tcBorders>
          </w:tcPr>
          <w:p w14:paraId="020A8AF0">
            <w:pPr>
              <w:suppressAutoHyphens/>
              <w:spacing w:line="256" w:lineRule="auto"/>
              <w:rPr>
                <w:rFonts w:hint="eastAsia" w:ascii="CG Times (WN)" w:hAnsi="CG Times (WN)" w:cs="Arial" w:eastAsiaTheme="minorEastAsia"/>
                <w:lang w:eastAsia="zh-CN"/>
              </w:rPr>
            </w:pPr>
            <w:r>
              <w:rPr>
                <w:rFonts w:hint="eastAsia" w:ascii="CG Times (WN)" w:hAnsi="CG Times (WN)" w:cs="Arial" w:eastAsiaTheme="minorEastAsia"/>
                <w:lang w:eastAsia="zh-CN"/>
              </w:rPr>
              <w:t>4</w:t>
            </w:r>
            <w:r>
              <w:rPr>
                <w:rFonts w:ascii="CG Times (WN)" w:hAnsi="CG Times (WN)" w:cs="Arial" w:eastAsiaTheme="minorEastAsia"/>
                <w:lang w:eastAsia="zh-CN"/>
              </w:rPr>
              <w:t>5</w:t>
            </w:r>
          </w:p>
        </w:tc>
        <w:tc>
          <w:tcPr>
            <w:tcW w:w="2976" w:type="dxa"/>
            <w:tcBorders>
              <w:top w:val="single" w:color="auto" w:sz="4" w:space="0"/>
              <w:left w:val="single" w:color="auto" w:sz="4" w:space="0"/>
              <w:bottom w:val="single" w:color="auto" w:sz="4" w:space="0"/>
              <w:right w:val="single" w:color="auto" w:sz="4" w:space="0"/>
            </w:tcBorders>
          </w:tcPr>
          <w:p w14:paraId="7CF888AC">
            <w:pPr>
              <w:suppressAutoHyphens/>
              <w:spacing w:line="256" w:lineRule="auto"/>
              <w:rPr>
                <w:rFonts w:ascii="CG Times (WN)" w:hAnsi="CG Times (WN)" w:eastAsia="PMingLiU" w:cs="Arial"/>
                <w:lang w:eastAsia="zh-TW"/>
              </w:rPr>
            </w:pPr>
            <w:r>
              <w:rPr>
                <w:rFonts w:ascii="CG Times (WN)" w:hAnsi="CG Times (WN)" w:eastAsia="PMingLiU" w:cs="Arial"/>
                <w:lang w:eastAsia="zh-TW"/>
              </w:rPr>
              <w:t xml:space="preserve">0 </w:t>
            </w:r>
          </w:p>
        </w:tc>
        <w:tc>
          <w:tcPr>
            <w:tcW w:w="3261" w:type="dxa"/>
            <w:tcBorders>
              <w:top w:val="single" w:color="auto" w:sz="4" w:space="0"/>
              <w:left w:val="single" w:color="auto" w:sz="4" w:space="0"/>
              <w:bottom w:val="single" w:color="auto" w:sz="4" w:space="0"/>
              <w:right w:val="single" w:color="auto" w:sz="4" w:space="0"/>
            </w:tcBorders>
          </w:tcPr>
          <w:p w14:paraId="1212388E">
            <w:pPr>
              <w:suppressAutoHyphens/>
              <w:spacing w:line="256" w:lineRule="auto"/>
              <w:rPr>
                <w:rFonts w:ascii="CG Times (WN)" w:hAnsi="CG Times (WN)" w:eastAsia="PMingLiU" w:cs="Arial"/>
                <w:lang w:eastAsia="zh-TW"/>
              </w:rPr>
            </w:pPr>
            <w:r>
              <w:rPr>
                <w:rFonts w:ascii="CG Times (WN)" w:hAnsi="CG Times (WN)" w:eastAsia="PMingLiU" w:cs="Arial"/>
                <w:lang w:eastAsia="zh-TW"/>
              </w:rPr>
              <w:t xml:space="preserve">0 ms* </w:t>
            </w:r>
          </w:p>
        </w:tc>
      </w:tr>
      <w:tr w14:paraId="5C906DB1">
        <w:trPr>
          <w:trHeight w:val="20" w:hRule="atLeast"/>
        </w:trPr>
        <w:tc>
          <w:tcPr>
            <w:tcW w:w="9493" w:type="dxa"/>
            <w:gridSpan w:val="4"/>
            <w:tcBorders>
              <w:top w:val="single" w:color="auto" w:sz="4" w:space="0"/>
              <w:left w:val="single" w:color="auto" w:sz="4" w:space="0"/>
              <w:bottom w:val="single" w:color="auto" w:sz="4" w:space="0"/>
              <w:right w:val="single" w:color="auto" w:sz="4" w:space="0"/>
            </w:tcBorders>
          </w:tcPr>
          <w:p w14:paraId="505845BF">
            <w:pPr>
              <w:suppressAutoHyphens/>
              <w:spacing w:line="256" w:lineRule="auto"/>
              <w:rPr>
                <w:rFonts w:ascii="CG Times (WN)" w:hAnsi="CG Times (WN)" w:eastAsia="PMingLiU" w:cs="Arial"/>
                <w:lang w:eastAsia="zh-TW"/>
              </w:rPr>
            </w:pPr>
            <w:r>
              <w:rPr>
                <w:rFonts w:ascii="CG Times (WN)" w:hAnsi="CG Times (WN)" w:eastAsia="PMingLiU" w:cs="Arial"/>
                <w:lang w:eastAsia="zh-TW"/>
              </w:rPr>
              <w:t>*</w:t>
            </w:r>
            <w:r>
              <w:rPr>
                <w:rFonts w:ascii="CG Times (WN)" w:hAnsi="CG Times (WN)" w:eastAsia="PMingLiU" w:cs="Arial"/>
                <w:lang w:eastAsia="zh-TW"/>
              </w:rPr>
              <w:tab/>
            </w:r>
            <w:r>
              <w:rPr>
                <w:rFonts w:ascii="CG Times (WN)" w:hAnsi="CG Times (WN)" w:eastAsia="PMingLiU" w:cs="Arial"/>
                <w:lang w:eastAsia="zh-TW"/>
              </w:rPr>
              <w:t>Immediate transition is assumed for power saving study purpose from or to a non-sleep state</w:t>
            </w:r>
          </w:p>
        </w:tc>
      </w:tr>
    </w:tbl>
    <w:p w14:paraId="68F46CA4">
      <w:pPr>
        <w:pBdr>
          <w:bottom w:val="single" w:color="auto" w:sz="4" w:space="1"/>
        </w:pBdr>
        <w:spacing w:after="0"/>
        <w:jc w:val="left"/>
        <w:rPr>
          <w:b/>
          <w:kern w:val="2"/>
          <w:sz w:val="16"/>
          <w:szCs w:val="16"/>
          <w:lang w:eastAsia="zh-CN"/>
        </w:rPr>
      </w:pPr>
    </w:p>
    <w:p w14:paraId="04F44914">
      <w:pPr>
        <w:pBdr>
          <w:bottom w:val="single" w:color="auto" w:sz="4" w:space="1"/>
        </w:pBdr>
        <w:spacing w:after="0"/>
        <w:jc w:val="left"/>
        <w:rPr>
          <w:b/>
          <w:kern w:val="2"/>
          <w:sz w:val="16"/>
          <w:szCs w:val="16"/>
          <w:lang w:eastAsia="zh-CN"/>
        </w:rPr>
      </w:pPr>
    </w:p>
    <w:p w14:paraId="041B2746">
      <w:pPr>
        <w:pStyle w:val="2"/>
        <w:numPr>
          <w:ilvl w:val="0"/>
          <w:numId w:val="0"/>
        </w:numPr>
        <w:ind w:leftChars="0"/>
        <w:rPr>
          <w:lang w:eastAsia="zh-CN"/>
        </w:rPr>
      </w:pPr>
      <w:r>
        <w:rPr>
          <w:rFonts w:hint="eastAsia"/>
          <w:lang w:val="en-US" w:eastAsia="zh-CN"/>
        </w:rPr>
        <w:t>5</w:t>
      </w:r>
      <w:r>
        <w:rPr>
          <w:rFonts w:hint="eastAsia"/>
          <w:lang w:eastAsia="zh-CN"/>
        </w:rPr>
        <w:t xml:space="preserve"> </w:t>
      </w:r>
      <w:r>
        <w:rPr>
          <w:lang w:eastAsia="zh-CN"/>
        </w:rPr>
        <w:t>6G</w:t>
      </w:r>
      <w:r>
        <w:rPr>
          <w:rFonts w:hint="eastAsia"/>
          <w:lang w:eastAsia="zh-CN"/>
        </w:rPr>
        <w:t>R</w:t>
      </w:r>
      <w:r>
        <w:rPr>
          <w:lang w:eastAsia="zh-CN"/>
        </w:rPr>
        <w:t xml:space="preserve"> energy efficiency considerations</w:t>
      </w:r>
    </w:p>
    <w:p w14:paraId="63D23841">
      <w:pPr>
        <w:rPr>
          <w:lang w:eastAsia="ja-JP"/>
        </w:rPr>
      </w:pPr>
      <w:r>
        <w:rPr>
          <w:lang w:eastAsia="zh-CN"/>
        </w:rPr>
        <w:t xml:space="preserve">In </w:t>
      </w:r>
      <w:r>
        <w:rPr>
          <w:rFonts w:hint="eastAsia"/>
          <w:lang w:val="en-US" w:eastAsia="zh-CN"/>
        </w:rPr>
        <w:t>RAN 1#122b</w:t>
      </w:r>
      <w:r>
        <w:rPr>
          <w:lang w:eastAsia="zh-CN"/>
        </w:rPr>
        <w:t xml:space="preserve"> meeting, t</w:t>
      </w:r>
      <w:r>
        <w:rPr>
          <w:lang w:eastAsia="ja-JP"/>
        </w:rPr>
        <w:t xml:space="preserve">he following are example categories and features given by [3] for 6GR energy efficiency study. </w:t>
      </w:r>
    </w:p>
    <w:tbl>
      <w:tblPr>
        <w:tblStyle w:val="27"/>
        <w:tblW w:w="9210" w:type="dxa"/>
        <w:tblInd w:w="134" w:type="dxa"/>
        <w:tblLayout w:type="fixed"/>
        <w:tblCellMar>
          <w:top w:w="0" w:type="dxa"/>
          <w:left w:w="108" w:type="dxa"/>
          <w:bottom w:w="0" w:type="dxa"/>
          <w:right w:w="108" w:type="dxa"/>
        </w:tblCellMar>
      </w:tblPr>
      <w:tblGrid>
        <w:gridCol w:w="4257"/>
        <w:gridCol w:w="4953"/>
      </w:tblGrid>
      <w:tr w14:paraId="799DD9FA">
        <w:tc>
          <w:tcPr>
            <w:tcW w:w="4257" w:type="dxa"/>
            <w:tcBorders>
              <w:top w:val="single" w:color="000000" w:sz="4" w:space="0"/>
              <w:left w:val="single" w:color="000000" w:sz="4" w:space="0"/>
              <w:bottom w:val="single" w:color="000000" w:sz="4" w:space="0"/>
              <w:right w:val="single" w:color="000000" w:sz="4" w:space="0"/>
            </w:tcBorders>
            <w:shd w:val="clear" w:color="auto" w:fill="E8E8E8"/>
          </w:tcPr>
          <w:p w14:paraId="56B09D71">
            <w:pPr>
              <w:rPr>
                <w:rFonts w:eastAsiaTheme="minorEastAsia"/>
                <w:lang w:eastAsia="zh-TW"/>
              </w:rPr>
            </w:pPr>
            <w:r>
              <w:rPr>
                <w:rFonts w:eastAsiaTheme="minorEastAsia"/>
                <w:b/>
                <w:bCs/>
                <w:lang w:eastAsia="zh-TW"/>
              </w:rPr>
              <w:t>Example</w:t>
            </w:r>
            <w:r>
              <w:rPr>
                <w:rFonts w:eastAsiaTheme="minorEastAsia"/>
                <w:lang w:eastAsia="zh-TW"/>
              </w:rPr>
              <w:t xml:space="preserve"> categories</w:t>
            </w:r>
          </w:p>
        </w:tc>
        <w:tc>
          <w:tcPr>
            <w:tcW w:w="4953" w:type="dxa"/>
            <w:tcBorders>
              <w:top w:val="single" w:color="000000" w:sz="4" w:space="0"/>
              <w:left w:val="single" w:color="000000" w:sz="4" w:space="0"/>
              <w:bottom w:val="single" w:color="000000" w:sz="4" w:space="0"/>
              <w:right w:val="single" w:color="000000" w:sz="4" w:space="0"/>
            </w:tcBorders>
            <w:shd w:val="clear" w:color="auto" w:fill="E8E8E8"/>
          </w:tcPr>
          <w:p w14:paraId="5094DAE1">
            <w:pPr>
              <w:rPr>
                <w:rFonts w:eastAsiaTheme="minorEastAsia"/>
                <w:lang w:eastAsia="zh-TW"/>
              </w:rPr>
            </w:pPr>
            <w:r>
              <w:rPr>
                <w:rFonts w:eastAsiaTheme="minorEastAsia"/>
                <w:b/>
                <w:bCs/>
                <w:lang w:eastAsia="zh-TW"/>
              </w:rPr>
              <w:t>Example</w:t>
            </w:r>
            <w:r>
              <w:rPr>
                <w:rFonts w:eastAsiaTheme="minorEastAsia"/>
                <w:lang w:eastAsia="zh-TW"/>
              </w:rPr>
              <w:t xml:space="preserve"> features</w:t>
            </w:r>
          </w:p>
        </w:tc>
      </w:tr>
      <w:tr w14:paraId="742E39FC">
        <w:tc>
          <w:tcPr>
            <w:tcW w:w="4257" w:type="dxa"/>
            <w:tcBorders>
              <w:top w:val="single" w:color="000000" w:sz="4" w:space="0"/>
              <w:left w:val="single" w:color="000000" w:sz="4" w:space="0"/>
              <w:bottom w:val="single" w:color="000000" w:sz="4" w:space="0"/>
              <w:right w:val="single" w:color="000000" w:sz="4" w:space="0"/>
            </w:tcBorders>
          </w:tcPr>
          <w:p w14:paraId="37C04FC5">
            <w:pPr>
              <w:rPr>
                <w:rFonts w:eastAsiaTheme="minorEastAsia"/>
                <w:lang w:eastAsia="zh-TW"/>
              </w:rPr>
            </w:pPr>
            <w:r>
              <w:rPr>
                <w:rFonts w:eastAsiaTheme="minorEastAsia"/>
                <w:lang w:eastAsia="zh-TW"/>
              </w:rPr>
              <w:t>SSB, SIB1</w:t>
            </w:r>
          </w:p>
        </w:tc>
        <w:tc>
          <w:tcPr>
            <w:tcW w:w="4953" w:type="dxa"/>
            <w:tcBorders>
              <w:top w:val="single" w:color="000000" w:sz="4" w:space="0"/>
              <w:left w:val="single" w:color="000000" w:sz="4" w:space="0"/>
              <w:bottom w:val="single" w:color="000000" w:sz="4" w:space="0"/>
              <w:right w:val="single" w:color="000000" w:sz="4" w:space="0"/>
            </w:tcBorders>
          </w:tcPr>
          <w:p w14:paraId="67C10D75">
            <w:pPr>
              <w:rPr>
                <w:rFonts w:eastAsiaTheme="minorEastAsia"/>
                <w:lang w:eastAsia="zh-TW"/>
              </w:rPr>
            </w:pPr>
            <w:r>
              <w:rPr>
                <w:rFonts w:eastAsiaTheme="minorEastAsia"/>
                <w:lang w:eastAsia="zh-TW"/>
              </w:rPr>
              <w:t>Periodicity adaptation, on-demand operation including UL-WUS trigger, low-power transmission</w:t>
            </w:r>
          </w:p>
        </w:tc>
      </w:tr>
      <w:tr w14:paraId="0EE78720">
        <w:tc>
          <w:tcPr>
            <w:tcW w:w="4257" w:type="dxa"/>
            <w:tcBorders>
              <w:top w:val="single" w:color="000000" w:sz="4" w:space="0"/>
              <w:left w:val="single" w:color="000000" w:sz="4" w:space="0"/>
              <w:bottom w:val="single" w:color="000000" w:sz="4" w:space="0"/>
              <w:right w:val="single" w:color="000000" w:sz="4" w:space="0"/>
            </w:tcBorders>
          </w:tcPr>
          <w:p w14:paraId="2C737BBF">
            <w:pPr>
              <w:rPr>
                <w:rFonts w:eastAsiaTheme="minorEastAsia"/>
                <w:lang w:eastAsia="zh-TW"/>
              </w:rPr>
            </w:pPr>
            <w:r>
              <w:rPr>
                <w:rFonts w:eastAsiaTheme="minorEastAsia"/>
                <w:lang w:eastAsia="zh-TW"/>
              </w:rPr>
              <w:t>RO/RACH and PO/Paging</w:t>
            </w:r>
          </w:p>
        </w:tc>
        <w:tc>
          <w:tcPr>
            <w:tcW w:w="4953" w:type="dxa"/>
            <w:tcBorders>
              <w:top w:val="single" w:color="000000" w:sz="4" w:space="0"/>
              <w:left w:val="single" w:color="000000" w:sz="4" w:space="0"/>
              <w:bottom w:val="single" w:color="000000" w:sz="4" w:space="0"/>
              <w:right w:val="single" w:color="000000" w:sz="4" w:space="0"/>
            </w:tcBorders>
          </w:tcPr>
          <w:p w14:paraId="655F2A52">
            <w:pPr>
              <w:rPr>
                <w:rFonts w:eastAsiaTheme="minorEastAsia"/>
                <w:lang w:eastAsia="zh-TW"/>
              </w:rPr>
            </w:pPr>
            <w:r>
              <w:rPr>
                <w:rFonts w:eastAsiaTheme="minorEastAsia"/>
                <w:lang w:eastAsia="zh-TW"/>
              </w:rPr>
              <w:t>RO and PO adaptation, preamble with large pool size, paging with fast UE identification</w:t>
            </w:r>
          </w:p>
        </w:tc>
      </w:tr>
      <w:tr w14:paraId="7A0B0A61">
        <w:tc>
          <w:tcPr>
            <w:tcW w:w="4257" w:type="dxa"/>
            <w:tcBorders>
              <w:top w:val="single" w:color="000000" w:sz="4" w:space="0"/>
              <w:left w:val="single" w:color="000000" w:sz="4" w:space="0"/>
              <w:bottom w:val="single" w:color="000000" w:sz="4" w:space="0"/>
              <w:right w:val="single" w:color="000000" w:sz="4" w:space="0"/>
            </w:tcBorders>
          </w:tcPr>
          <w:p w14:paraId="6337895A">
            <w:pPr>
              <w:rPr>
                <w:rFonts w:eastAsiaTheme="minorEastAsia"/>
                <w:lang w:eastAsia="zh-TW"/>
              </w:rPr>
            </w:pPr>
            <w:r>
              <w:rPr>
                <w:rFonts w:eastAsiaTheme="minorEastAsia"/>
                <w:lang w:eastAsia="zh-TW"/>
              </w:rPr>
              <w:t>TRP on/off</w:t>
            </w:r>
          </w:p>
        </w:tc>
        <w:tc>
          <w:tcPr>
            <w:tcW w:w="4953" w:type="dxa"/>
            <w:tcBorders>
              <w:top w:val="single" w:color="000000" w:sz="4" w:space="0"/>
              <w:left w:val="single" w:color="000000" w:sz="4" w:space="0"/>
              <w:bottom w:val="single" w:color="000000" w:sz="4" w:space="0"/>
              <w:right w:val="single" w:color="000000" w:sz="4" w:space="0"/>
            </w:tcBorders>
          </w:tcPr>
          <w:p w14:paraId="649D1A69">
            <w:pPr>
              <w:rPr>
                <w:rFonts w:eastAsiaTheme="minorEastAsia"/>
                <w:lang w:eastAsia="zh-TW"/>
              </w:rPr>
            </w:pPr>
            <w:r>
              <w:rPr>
                <w:rFonts w:eastAsiaTheme="minorEastAsia"/>
                <w:lang w:eastAsia="zh-TW"/>
              </w:rPr>
              <w:t>Dynamic adaptation/On-off,</w:t>
            </w:r>
          </w:p>
        </w:tc>
      </w:tr>
      <w:tr w14:paraId="24E509C1">
        <w:tc>
          <w:tcPr>
            <w:tcW w:w="9210" w:type="dxa"/>
            <w:gridSpan w:val="2"/>
            <w:tcBorders>
              <w:top w:val="single" w:color="000000" w:sz="4" w:space="0"/>
              <w:left w:val="single" w:color="000000" w:sz="4" w:space="0"/>
              <w:bottom w:val="single" w:color="000000" w:sz="4" w:space="0"/>
              <w:right w:val="single" w:color="000000" w:sz="4" w:space="0"/>
            </w:tcBorders>
          </w:tcPr>
          <w:p w14:paraId="77341A62">
            <w:pPr>
              <w:rPr>
                <w:rFonts w:eastAsiaTheme="minorEastAsia"/>
                <w:lang w:eastAsia="zh-TW"/>
              </w:rPr>
            </w:pPr>
          </w:p>
        </w:tc>
      </w:tr>
      <w:tr w14:paraId="4FB61752">
        <w:trPr>
          <w:trHeight w:val="286" w:hRule="atLeast"/>
        </w:trPr>
        <w:tc>
          <w:tcPr>
            <w:tcW w:w="4257" w:type="dxa"/>
            <w:tcBorders>
              <w:top w:val="single" w:color="000000" w:sz="4" w:space="0"/>
              <w:left w:val="single" w:color="000000" w:sz="4" w:space="0"/>
              <w:bottom w:val="single" w:color="000000" w:sz="4" w:space="0"/>
              <w:right w:val="single" w:color="000000" w:sz="4" w:space="0"/>
            </w:tcBorders>
          </w:tcPr>
          <w:p w14:paraId="01B3F72D">
            <w:pPr>
              <w:rPr>
                <w:rFonts w:eastAsiaTheme="minorEastAsia"/>
                <w:lang w:eastAsia="zh-TW"/>
              </w:rPr>
            </w:pPr>
            <w:r>
              <w:rPr>
                <w:rFonts w:eastAsiaTheme="minorEastAsia"/>
                <w:lang w:eastAsia="zh-TW"/>
              </w:rPr>
              <w:t xml:space="preserve">Multi-carrier/CA </w:t>
            </w:r>
          </w:p>
        </w:tc>
        <w:tc>
          <w:tcPr>
            <w:tcW w:w="4953" w:type="dxa"/>
            <w:tcBorders>
              <w:top w:val="single" w:color="000000" w:sz="4" w:space="0"/>
              <w:left w:val="single" w:color="000000" w:sz="4" w:space="0"/>
              <w:bottom w:val="single" w:color="000000" w:sz="4" w:space="0"/>
              <w:right w:val="single" w:color="000000" w:sz="4" w:space="0"/>
            </w:tcBorders>
          </w:tcPr>
          <w:p w14:paraId="701E2674">
            <w:pPr>
              <w:rPr>
                <w:rFonts w:eastAsiaTheme="minorEastAsia"/>
                <w:lang w:eastAsia="zh-TW"/>
              </w:rPr>
            </w:pPr>
            <w:r>
              <w:rPr>
                <w:rFonts w:eastAsiaTheme="minorEastAsia"/>
                <w:lang w:eastAsia="zh-TW"/>
              </w:rPr>
              <w:t>SCell dormancy, fast SCell (de)activation, SSB-less SCell, UL-only/DL-only cell activation, overall procedure of multi-carrier operation</w:t>
            </w:r>
          </w:p>
        </w:tc>
      </w:tr>
      <w:tr w14:paraId="23E94608">
        <w:tc>
          <w:tcPr>
            <w:tcW w:w="4257" w:type="dxa"/>
            <w:tcBorders>
              <w:top w:val="single" w:color="000000" w:sz="4" w:space="0"/>
              <w:left w:val="single" w:color="000000" w:sz="4" w:space="0"/>
              <w:bottom w:val="single" w:color="000000" w:sz="4" w:space="0"/>
              <w:right w:val="single" w:color="000000" w:sz="4" w:space="0"/>
            </w:tcBorders>
          </w:tcPr>
          <w:p w14:paraId="17A973D7">
            <w:pPr>
              <w:rPr>
                <w:rFonts w:eastAsiaTheme="minorEastAsia"/>
                <w:lang w:eastAsia="zh-TW"/>
              </w:rPr>
            </w:pPr>
            <w:r>
              <w:rPr>
                <w:rFonts w:eastAsiaTheme="minorEastAsia"/>
                <w:lang w:eastAsia="zh-TW"/>
              </w:rPr>
              <w:t>Cell DTX/DRX</w:t>
            </w:r>
          </w:p>
        </w:tc>
        <w:tc>
          <w:tcPr>
            <w:tcW w:w="4953" w:type="dxa"/>
            <w:tcBorders>
              <w:top w:val="single" w:color="000000" w:sz="4" w:space="0"/>
              <w:left w:val="single" w:color="000000" w:sz="4" w:space="0"/>
              <w:bottom w:val="single" w:color="000000" w:sz="4" w:space="0"/>
              <w:right w:val="single" w:color="000000" w:sz="4" w:space="0"/>
            </w:tcBorders>
          </w:tcPr>
          <w:p w14:paraId="5ACDCAC8">
            <w:pPr>
              <w:rPr>
                <w:rFonts w:eastAsiaTheme="minorEastAsia"/>
                <w:lang w:eastAsia="zh-TW"/>
              </w:rPr>
            </w:pPr>
            <w:r>
              <w:rPr>
                <w:rFonts w:eastAsiaTheme="minorEastAsia"/>
                <w:lang w:eastAsia="zh-TW"/>
              </w:rPr>
              <w:t>On/off, adaptation, Joint op w/ UE cDRX</w:t>
            </w:r>
          </w:p>
        </w:tc>
      </w:tr>
      <w:tr w14:paraId="772CC986">
        <w:tc>
          <w:tcPr>
            <w:tcW w:w="9210" w:type="dxa"/>
            <w:gridSpan w:val="2"/>
            <w:tcBorders>
              <w:top w:val="single" w:color="000000" w:sz="4" w:space="0"/>
              <w:left w:val="single" w:color="000000" w:sz="4" w:space="0"/>
              <w:bottom w:val="single" w:color="000000" w:sz="4" w:space="0"/>
              <w:right w:val="single" w:color="000000" w:sz="4" w:space="0"/>
            </w:tcBorders>
          </w:tcPr>
          <w:p w14:paraId="25CE5201">
            <w:pPr>
              <w:rPr>
                <w:rFonts w:eastAsiaTheme="minorEastAsia"/>
                <w:lang w:eastAsia="zh-TW"/>
              </w:rPr>
            </w:pPr>
          </w:p>
        </w:tc>
      </w:tr>
      <w:tr w14:paraId="2335DCAA">
        <w:tc>
          <w:tcPr>
            <w:tcW w:w="4257" w:type="dxa"/>
            <w:tcBorders>
              <w:top w:val="single" w:color="000000" w:sz="4" w:space="0"/>
              <w:left w:val="single" w:color="000000" w:sz="4" w:space="0"/>
              <w:bottom w:val="single" w:color="000000" w:sz="4" w:space="0"/>
              <w:right w:val="single" w:color="000000" w:sz="4" w:space="0"/>
            </w:tcBorders>
          </w:tcPr>
          <w:p w14:paraId="0C3C1FBB">
            <w:pPr>
              <w:rPr>
                <w:rFonts w:eastAsiaTheme="minorEastAsia"/>
                <w:lang w:eastAsia="zh-TW"/>
              </w:rPr>
            </w:pPr>
            <w:r>
              <w:rPr>
                <w:rFonts w:eastAsiaTheme="minorEastAsia"/>
                <w:lang w:eastAsia="zh-TW"/>
              </w:rPr>
              <w:t>BS Power models &amp; evaluation metric</w:t>
            </w:r>
          </w:p>
        </w:tc>
        <w:tc>
          <w:tcPr>
            <w:tcW w:w="4953" w:type="dxa"/>
            <w:tcBorders>
              <w:top w:val="single" w:color="000000" w:sz="4" w:space="0"/>
              <w:left w:val="single" w:color="000000" w:sz="4" w:space="0"/>
              <w:bottom w:val="single" w:color="000000" w:sz="4" w:space="0"/>
              <w:right w:val="single" w:color="000000" w:sz="4" w:space="0"/>
            </w:tcBorders>
          </w:tcPr>
          <w:p w14:paraId="7999FAC2">
            <w:pPr>
              <w:rPr>
                <w:rFonts w:eastAsiaTheme="minorEastAsia"/>
                <w:lang w:eastAsia="zh-TW"/>
              </w:rPr>
            </w:pPr>
            <w:r>
              <w:rPr>
                <w:rFonts w:eastAsiaTheme="minorEastAsia"/>
                <w:lang w:eastAsia="zh-TW"/>
              </w:rPr>
              <w:t>QoS</w:t>
            </w:r>
          </w:p>
        </w:tc>
      </w:tr>
      <w:tr w14:paraId="1A6A1231">
        <w:trPr>
          <w:trHeight w:val="291" w:hRule="atLeast"/>
        </w:trPr>
        <w:tc>
          <w:tcPr>
            <w:tcW w:w="9210" w:type="dxa"/>
            <w:gridSpan w:val="2"/>
            <w:tcBorders>
              <w:top w:val="single" w:color="000000" w:sz="4" w:space="0"/>
              <w:left w:val="single" w:color="000000" w:sz="4" w:space="0"/>
              <w:bottom w:val="single" w:color="000000" w:sz="4" w:space="0"/>
              <w:right w:val="single" w:color="000000" w:sz="4" w:space="0"/>
            </w:tcBorders>
          </w:tcPr>
          <w:p w14:paraId="7B5F8479">
            <w:pPr>
              <w:rPr>
                <w:rFonts w:eastAsiaTheme="minorEastAsia"/>
                <w:lang w:eastAsia="zh-TW"/>
              </w:rPr>
            </w:pPr>
          </w:p>
        </w:tc>
      </w:tr>
      <w:tr w14:paraId="224223E6">
        <w:trPr>
          <w:trHeight w:val="90" w:hRule="atLeast"/>
        </w:trPr>
        <w:tc>
          <w:tcPr>
            <w:tcW w:w="4257" w:type="dxa"/>
            <w:tcBorders>
              <w:top w:val="single" w:color="000000" w:sz="4" w:space="0"/>
              <w:left w:val="single" w:color="000000" w:sz="4" w:space="0"/>
              <w:bottom w:val="single" w:color="000000" w:sz="4" w:space="0"/>
              <w:right w:val="single" w:color="000000" w:sz="4" w:space="0"/>
            </w:tcBorders>
            <w:shd w:val="clear" w:color="auto" w:fill="EEECE1" w:themeFill="background2"/>
          </w:tcPr>
          <w:p w14:paraId="724E8325">
            <w:pPr>
              <w:rPr>
                <w:rFonts w:eastAsiaTheme="minorEastAsia"/>
                <w:lang w:eastAsia="zh-TW"/>
              </w:rPr>
            </w:pPr>
            <w:r>
              <w:rPr>
                <w:rFonts w:eastAsiaTheme="minorEastAsia"/>
                <w:b/>
                <w:bCs/>
                <w:lang w:val="de-DE" w:eastAsia="zh-TW"/>
              </w:rPr>
              <w:t>Example</w:t>
            </w:r>
            <w:r>
              <w:rPr>
                <w:rFonts w:eastAsiaTheme="minorEastAsia"/>
                <w:lang w:val="de-DE" w:eastAsia="zh-TW"/>
              </w:rPr>
              <w:t xml:space="preserve"> categories</w:t>
            </w:r>
          </w:p>
        </w:tc>
        <w:tc>
          <w:tcPr>
            <w:tcW w:w="4953" w:type="dxa"/>
            <w:tcBorders>
              <w:top w:val="single" w:color="000000" w:sz="4" w:space="0"/>
              <w:left w:val="single" w:color="000000" w:sz="4" w:space="0"/>
              <w:bottom w:val="single" w:color="000000" w:sz="4" w:space="0"/>
              <w:right w:val="single" w:color="000000" w:sz="4" w:space="0"/>
            </w:tcBorders>
            <w:shd w:val="clear" w:color="auto" w:fill="EEECE1" w:themeFill="background2"/>
          </w:tcPr>
          <w:p w14:paraId="490A112F">
            <w:pPr>
              <w:rPr>
                <w:rFonts w:eastAsiaTheme="minorEastAsia"/>
                <w:lang w:eastAsia="zh-TW"/>
              </w:rPr>
            </w:pPr>
            <w:r>
              <w:rPr>
                <w:rFonts w:eastAsiaTheme="minorEastAsia"/>
                <w:b/>
                <w:bCs/>
                <w:lang w:val="de-DE" w:eastAsia="zh-TW"/>
              </w:rPr>
              <w:t>Example</w:t>
            </w:r>
            <w:r>
              <w:rPr>
                <w:rFonts w:eastAsiaTheme="minorEastAsia"/>
                <w:lang w:val="de-DE" w:eastAsia="zh-TW"/>
              </w:rPr>
              <w:t xml:space="preserve"> features</w:t>
            </w:r>
          </w:p>
        </w:tc>
      </w:tr>
      <w:tr w14:paraId="7651D6C4">
        <w:trPr>
          <w:trHeight w:val="291" w:hRule="atLeast"/>
        </w:trPr>
        <w:tc>
          <w:tcPr>
            <w:tcW w:w="4257" w:type="dxa"/>
            <w:tcBorders>
              <w:top w:val="single" w:color="000000" w:sz="4" w:space="0"/>
              <w:left w:val="single" w:color="000000" w:sz="4" w:space="0"/>
              <w:bottom w:val="single" w:color="000000" w:sz="4" w:space="0"/>
              <w:right w:val="single" w:color="000000" w:sz="4" w:space="0"/>
            </w:tcBorders>
          </w:tcPr>
          <w:p w14:paraId="34605AE9">
            <w:pPr>
              <w:rPr>
                <w:rFonts w:eastAsiaTheme="minorEastAsia"/>
                <w:lang w:eastAsia="zh-TW"/>
              </w:rPr>
            </w:pPr>
            <w:r>
              <w:rPr>
                <w:rFonts w:eastAsiaTheme="minorEastAsia"/>
                <w:lang w:eastAsia="zh-TW"/>
              </w:rPr>
              <w:t>PDCCH monitoring and adaptation</w:t>
            </w:r>
          </w:p>
        </w:tc>
        <w:tc>
          <w:tcPr>
            <w:tcW w:w="4953" w:type="dxa"/>
            <w:tcBorders>
              <w:top w:val="single" w:color="000000" w:sz="4" w:space="0"/>
              <w:left w:val="single" w:color="000000" w:sz="4" w:space="0"/>
              <w:bottom w:val="single" w:color="000000" w:sz="4" w:space="0"/>
              <w:right w:val="single" w:color="000000" w:sz="4" w:space="0"/>
            </w:tcBorders>
          </w:tcPr>
          <w:p w14:paraId="6F8C597C">
            <w:pPr>
              <w:rPr>
                <w:rFonts w:eastAsiaTheme="minorEastAsia"/>
                <w:lang w:eastAsia="zh-TW"/>
              </w:rPr>
            </w:pPr>
            <w:r>
              <w:rPr>
                <w:rFonts w:eastAsiaTheme="minorEastAsia"/>
                <w:lang w:eastAsia="zh-TW"/>
              </w:rPr>
              <w:t xml:space="preserve">cDRX, SSSG switching, PDCCH skipping, decoupling RF/BB PDSCH/PDCCH power states, PDCCH monitoring for multi-CC, restricting maximum coreset size, restricting minimum SS period </w:t>
            </w:r>
          </w:p>
        </w:tc>
      </w:tr>
      <w:tr w14:paraId="4C50A3E4">
        <w:trPr>
          <w:trHeight w:val="286" w:hRule="atLeast"/>
        </w:trPr>
        <w:tc>
          <w:tcPr>
            <w:tcW w:w="4257" w:type="dxa"/>
            <w:tcBorders>
              <w:top w:val="single" w:color="000000" w:sz="4" w:space="0"/>
              <w:left w:val="single" w:color="000000" w:sz="4" w:space="0"/>
              <w:bottom w:val="single" w:color="000000" w:sz="4" w:space="0"/>
              <w:right w:val="single" w:color="000000" w:sz="4" w:space="0"/>
            </w:tcBorders>
          </w:tcPr>
          <w:p w14:paraId="3CA90C9F">
            <w:pPr>
              <w:rPr>
                <w:rFonts w:eastAsiaTheme="minorEastAsia"/>
                <w:lang w:eastAsia="zh-TW"/>
              </w:rPr>
            </w:pPr>
            <w:r>
              <w:rPr>
                <w:rFonts w:eastAsiaTheme="minorEastAsia"/>
                <w:lang w:eastAsia="zh-TW"/>
              </w:rPr>
              <w:t>Wake-up mechanism</w:t>
            </w:r>
          </w:p>
        </w:tc>
        <w:tc>
          <w:tcPr>
            <w:tcW w:w="4953" w:type="dxa"/>
            <w:tcBorders>
              <w:top w:val="single" w:color="000000" w:sz="4" w:space="0"/>
              <w:left w:val="single" w:color="000000" w:sz="4" w:space="0"/>
              <w:bottom w:val="single" w:color="000000" w:sz="4" w:space="0"/>
              <w:right w:val="single" w:color="000000" w:sz="4" w:space="0"/>
            </w:tcBorders>
          </w:tcPr>
          <w:p w14:paraId="3C560D7F">
            <w:pPr>
              <w:rPr>
                <w:rFonts w:eastAsiaTheme="minorEastAsia"/>
                <w:lang w:eastAsia="zh-TW"/>
              </w:rPr>
            </w:pPr>
            <w:r>
              <w:rPr>
                <w:rFonts w:eastAsiaTheme="minorEastAsia"/>
                <w:lang w:eastAsia="zh-TW"/>
              </w:rPr>
              <w:t>DCP, PEI, LP-WUS</w:t>
            </w:r>
          </w:p>
        </w:tc>
      </w:tr>
      <w:tr w14:paraId="495ADA9D">
        <w:trPr>
          <w:trHeight w:val="291" w:hRule="atLeast"/>
        </w:trPr>
        <w:tc>
          <w:tcPr>
            <w:tcW w:w="4257" w:type="dxa"/>
            <w:tcBorders>
              <w:top w:val="single" w:color="000000" w:sz="4" w:space="0"/>
              <w:left w:val="single" w:color="000000" w:sz="4" w:space="0"/>
              <w:bottom w:val="single" w:color="000000" w:sz="4" w:space="0"/>
              <w:right w:val="single" w:color="000000" w:sz="4" w:space="0"/>
            </w:tcBorders>
          </w:tcPr>
          <w:p w14:paraId="4CAC4B1A">
            <w:pPr>
              <w:rPr>
                <w:rFonts w:eastAsiaTheme="minorEastAsia"/>
                <w:lang w:eastAsia="zh-TW"/>
              </w:rPr>
            </w:pPr>
            <w:r>
              <w:rPr>
                <w:rFonts w:eastAsiaTheme="minorEastAsia"/>
                <w:lang w:eastAsia="zh-TW"/>
              </w:rPr>
              <w:t>Scheduling and data transmission</w:t>
            </w:r>
          </w:p>
        </w:tc>
        <w:tc>
          <w:tcPr>
            <w:tcW w:w="4953" w:type="dxa"/>
            <w:tcBorders>
              <w:top w:val="single" w:color="000000" w:sz="4" w:space="0"/>
              <w:left w:val="single" w:color="000000" w:sz="4" w:space="0"/>
              <w:bottom w:val="single" w:color="000000" w:sz="4" w:space="0"/>
              <w:right w:val="single" w:color="000000" w:sz="4" w:space="0"/>
            </w:tcBorders>
          </w:tcPr>
          <w:p w14:paraId="08CA0628">
            <w:pPr>
              <w:rPr>
                <w:rFonts w:eastAsiaTheme="minorEastAsia"/>
                <w:lang w:eastAsia="zh-TW"/>
              </w:rPr>
            </w:pPr>
            <w:r>
              <w:rPr>
                <w:rFonts w:eastAsiaTheme="minorEastAsia"/>
                <w:lang w:eastAsia="zh-TW"/>
              </w:rPr>
              <w:t>Cross-slot, UE UL DTX, UL skipping, sub-CC configuration, aggregated/efficient data transmission, wideband transmission with low PAPR, decoupling RF/BB power states, no late changes to UL, Autonomous PUSCH transmission, cDRX</w:t>
            </w:r>
          </w:p>
        </w:tc>
      </w:tr>
      <w:tr w14:paraId="10249D0B">
        <w:trPr>
          <w:trHeight w:val="291" w:hRule="atLeast"/>
        </w:trPr>
        <w:tc>
          <w:tcPr>
            <w:tcW w:w="4257" w:type="dxa"/>
            <w:tcBorders>
              <w:top w:val="single" w:color="000000" w:sz="4" w:space="0"/>
              <w:left w:val="single" w:color="000000" w:sz="4" w:space="0"/>
              <w:bottom w:val="single" w:color="000000" w:sz="4" w:space="0"/>
              <w:right w:val="single" w:color="000000" w:sz="4" w:space="0"/>
            </w:tcBorders>
          </w:tcPr>
          <w:p w14:paraId="3D8187B6">
            <w:pPr>
              <w:rPr>
                <w:rFonts w:eastAsiaTheme="minorEastAsia"/>
                <w:lang w:eastAsia="zh-TW"/>
              </w:rPr>
            </w:pPr>
            <w:r>
              <w:rPr>
                <w:rFonts w:eastAsiaTheme="minorEastAsia"/>
                <w:lang w:eastAsia="zh-TW"/>
              </w:rPr>
              <w:t>RRM/RLM/BFD</w:t>
            </w:r>
          </w:p>
        </w:tc>
        <w:tc>
          <w:tcPr>
            <w:tcW w:w="4953" w:type="dxa"/>
            <w:tcBorders>
              <w:top w:val="single" w:color="000000" w:sz="4" w:space="0"/>
              <w:left w:val="single" w:color="000000" w:sz="4" w:space="0"/>
              <w:bottom w:val="single" w:color="000000" w:sz="4" w:space="0"/>
              <w:right w:val="single" w:color="000000" w:sz="4" w:space="0"/>
            </w:tcBorders>
          </w:tcPr>
          <w:p w14:paraId="2D402051">
            <w:pPr>
              <w:rPr>
                <w:rFonts w:eastAsiaTheme="minorEastAsia"/>
                <w:lang w:eastAsia="zh-TW"/>
              </w:rPr>
            </w:pPr>
            <w:r>
              <w:rPr>
                <w:rFonts w:eastAsiaTheme="minorEastAsia"/>
                <w:lang w:eastAsia="zh-TW"/>
              </w:rPr>
              <w:t>RRM Relaxation, RLM/BFD Relaxation</w:t>
            </w:r>
          </w:p>
        </w:tc>
      </w:tr>
      <w:tr w14:paraId="06E87D53">
        <w:trPr>
          <w:trHeight w:val="291" w:hRule="atLeast"/>
        </w:trPr>
        <w:tc>
          <w:tcPr>
            <w:tcW w:w="4257" w:type="dxa"/>
            <w:tcBorders>
              <w:top w:val="single" w:color="000000" w:sz="4" w:space="0"/>
              <w:left w:val="single" w:color="000000" w:sz="4" w:space="0"/>
              <w:bottom w:val="single" w:color="000000" w:sz="4" w:space="0"/>
              <w:right w:val="single" w:color="000000" w:sz="4" w:space="0"/>
            </w:tcBorders>
          </w:tcPr>
          <w:p w14:paraId="67A96BC3">
            <w:pPr>
              <w:rPr>
                <w:rFonts w:eastAsiaTheme="minorEastAsia"/>
                <w:lang w:eastAsia="zh-TW"/>
              </w:rPr>
            </w:pPr>
            <w:r>
              <w:rPr>
                <w:rFonts w:eastAsiaTheme="minorEastAsia"/>
                <w:lang w:eastAsia="zh-TW"/>
              </w:rPr>
              <w:t>UAI</w:t>
            </w:r>
          </w:p>
        </w:tc>
        <w:tc>
          <w:tcPr>
            <w:tcW w:w="4953" w:type="dxa"/>
            <w:tcBorders>
              <w:top w:val="single" w:color="000000" w:sz="4" w:space="0"/>
              <w:left w:val="single" w:color="000000" w:sz="4" w:space="0"/>
              <w:bottom w:val="single" w:color="000000" w:sz="4" w:space="0"/>
              <w:right w:val="single" w:color="000000" w:sz="4" w:space="0"/>
            </w:tcBorders>
          </w:tcPr>
          <w:p w14:paraId="6997FD97">
            <w:pPr>
              <w:rPr>
                <w:rFonts w:eastAsiaTheme="minorEastAsia"/>
                <w:lang w:eastAsia="zh-TW"/>
              </w:rPr>
            </w:pPr>
            <w:r>
              <w:rPr>
                <w:rFonts w:eastAsiaTheme="minorEastAsia"/>
                <w:lang w:eastAsia="zh-TW"/>
              </w:rPr>
              <w:t>DRX setting, MIMO layer #, #CC, Overheat</w:t>
            </w:r>
          </w:p>
        </w:tc>
      </w:tr>
      <w:tr w14:paraId="7243636C">
        <w:trPr>
          <w:trHeight w:val="291" w:hRule="atLeast"/>
        </w:trPr>
        <w:tc>
          <w:tcPr>
            <w:tcW w:w="4257" w:type="dxa"/>
            <w:tcBorders>
              <w:top w:val="single" w:color="000000" w:sz="4" w:space="0"/>
              <w:left w:val="single" w:color="000000" w:sz="4" w:space="0"/>
              <w:bottom w:val="single" w:color="000000" w:sz="4" w:space="0"/>
              <w:right w:val="single" w:color="000000" w:sz="4" w:space="0"/>
            </w:tcBorders>
          </w:tcPr>
          <w:p w14:paraId="201C891C">
            <w:pPr>
              <w:rPr>
                <w:rFonts w:eastAsiaTheme="minorEastAsia"/>
                <w:lang w:eastAsia="zh-TW"/>
              </w:rPr>
            </w:pPr>
            <w:r>
              <w:rPr>
                <w:rFonts w:eastAsiaTheme="minorEastAsia"/>
                <w:lang w:eastAsia="zh-TW"/>
              </w:rPr>
              <w:t>Idle/inactive optimization</w:t>
            </w:r>
          </w:p>
        </w:tc>
        <w:tc>
          <w:tcPr>
            <w:tcW w:w="4953" w:type="dxa"/>
            <w:tcBorders>
              <w:top w:val="single" w:color="000000" w:sz="4" w:space="0"/>
              <w:left w:val="single" w:color="000000" w:sz="4" w:space="0"/>
              <w:bottom w:val="single" w:color="000000" w:sz="4" w:space="0"/>
              <w:right w:val="single" w:color="000000" w:sz="4" w:space="0"/>
            </w:tcBorders>
          </w:tcPr>
          <w:p w14:paraId="01C4B43E">
            <w:pPr>
              <w:rPr>
                <w:rFonts w:eastAsiaTheme="minorEastAsia"/>
                <w:lang w:eastAsia="zh-TW"/>
              </w:rPr>
            </w:pPr>
            <w:r>
              <w:rPr>
                <w:rFonts w:eastAsiaTheme="minorEastAsia"/>
                <w:lang w:eastAsia="zh-TW"/>
              </w:rPr>
              <w:t>idle TRS, inactive SDT</w:t>
            </w:r>
          </w:p>
        </w:tc>
      </w:tr>
      <w:tr w14:paraId="3E2A91C0">
        <w:trPr>
          <w:trHeight w:val="291" w:hRule="atLeast"/>
        </w:trPr>
        <w:tc>
          <w:tcPr>
            <w:tcW w:w="9210" w:type="dxa"/>
            <w:gridSpan w:val="2"/>
            <w:tcBorders>
              <w:top w:val="single" w:color="000000" w:sz="4" w:space="0"/>
              <w:left w:val="single" w:color="000000" w:sz="4" w:space="0"/>
              <w:bottom w:val="single" w:color="000000" w:sz="4" w:space="0"/>
              <w:right w:val="single" w:color="000000" w:sz="4" w:space="0"/>
            </w:tcBorders>
          </w:tcPr>
          <w:p w14:paraId="195071CD">
            <w:pPr>
              <w:rPr>
                <w:rFonts w:eastAsiaTheme="minorEastAsia"/>
                <w:lang w:eastAsia="zh-TW"/>
              </w:rPr>
            </w:pPr>
          </w:p>
        </w:tc>
      </w:tr>
      <w:tr w14:paraId="13742378">
        <w:trPr>
          <w:trHeight w:val="291" w:hRule="atLeast"/>
        </w:trPr>
        <w:tc>
          <w:tcPr>
            <w:tcW w:w="4257" w:type="dxa"/>
            <w:tcBorders>
              <w:top w:val="single" w:color="000000" w:sz="4" w:space="0"/>
              <w:left w:val="single" w:color="000000" w:sz="4" w:space="0"/>
              <w:bottom w:val="single" w:color="000000" w:sz="4" w:space="0"/>
              <w:right w:val="single" w:color="000000" w:sz="4" w:space="0"/>
            </w:tcBorders>
          </w:tcPr>
          <w:p w14:paraId="02264925">
            <w:pPr>
              <w:rPr>
                <w:rFonts w:eastAsiaTheme="minorEastAsia"/>
                <w:lang w:eastAsia="zh-TW"/>
              </w:rPr>
            </w:pPr>
            <w:r>
              <w:rPr>
                <w:rFonts w:eastAsiaTheme="minorEastAsia"/>
                <w:lang w:eastAsia="zh-TW"/>
              </w:rPr>
              <w:t>BWP, and other BW/rank adaptation</w:t>
            </w:r>
          </w:p>
        </w:tc>
        <w:tc>
          <w:tcPr>
            <w:tcW w:w="4953" w:type="dxa"/>
            <w:tcBorders>
              <w:top w:val="single" w:color="000000" w:sz="4" w:space="0"/>
              <w:left w:val="single" w:color="000000" w:sz="4" w:space="0"/>
              <w:bottom w:val="single" w:color="000000" w:sz="4" w:space="0"/>
              <w:right w:val="single" w:color="000000" w:sz="4" w:space="0"/>
            </w:tcBorders>
          </w:tcPr>
          <w:p w14:paraId="11D0D47B">
            <w:pPr>
              <w:rPr>
                <w:rFonts w:eastAsiaTheme="minorEastAsia"/>
                <w:lang w:eastAsia="zh-TW"/>
              </w:rPr>
            </w:pPr>
            <w:r>
              <w:rPr>
                <w:rFonts w:eastAsiaTheme="minorEastAsia"/>
                <w:lang w:eastAsia="zh-TW"/>
              </w:rPr>
              <w:t xml:space="preserve">BW adaptation, MIMO layer adaptation, coarse </w:t>
            </w:r>
            <w:r>
              <w:rPr>
                <w:rFonts w:hint="eastAsia" w:eastAsiaTheme="minorEastAsia"/>
                <w:lang w:eastAsia="zh-TW"/>
              </w:rPr>
              <w:t xml:space="preserve">supported </w:t>
            </w:r>
            <w:r>
              <w:rPr>
                <w:rFonts w:eastAsiaTheme="minorEastAsia"/>
                <w:lang w:eastAsia="zh-TW"/>
              </w:rPr>
              <w:t>BWP granularity</w:t>
            </w:r>
          </w:p>
        </w:tc>
      </w:tr>
      <w:tr w14:paraId="1CC2B78A">
        <w:trPr>
          <w:trHeight w:val="291" w:hRule="atLeast"/>
        </w:trPr>
        <w:tc>
          <w:tcPr>
            <w:tcW w:w="4257" w:type="dxa"/>
            <w:tcBorders>
              <w:top w:val="single" w:color="000000" w:sz="4" w:space="0"/>
              <w:left w:val="single" w:color="000000" w:sz="4" w:space="0"/>
              <w:bottom w:val="single" w:color="000000" w:sz="4" w:space="0"/>
              <w:right w:val="single" w:color="000000" w:sz="4" w:space="0"/>
            </w:tcBorders>
          </w:tcPr>
          <w:p w14:paraId="69816039">
            <w:pPr>
              <w:rPr>
                <w:rFonts w:eastAsiaTheme="minorEastAsia"/>
                <w:lang w:eastAsia="zh-TW"/>
              </w:rPr>
            </w:pPr>
            <w:r>
              <w:rPr>
                <w:rFonts w:eastAsiaTheme="minorEastAsia"/>
                <w:lang w:eastAsia="zh-TW"/>
              </w:rPr>
              <w:t>MIMO</w:t>
            </w:r>
          </w:p>
        </w:tc>
        <w:tc>
          <w:tcPr>
            <w:tcW w:w="4953" w:type="dxa"/>
            <w:tcBorders>
              <w:top w:val="single" w:color="000000" w:sz="4" w:space="0"/>
              <w:left w:val="single" w:color="000000" w:sz="4" w:space="0"/>
              <w:bottom w:val="single" w:color="000000" w:sz="4" w:space="0"/>
              <w:right w:val="single" w:color="000000" w:sz="4" w:space="0"/>
            </w:tcBorders>
          </w:tcPr>
          <w:p w14:paraId="23555C4D">
            <w:pPr>
              <w:rPr>
                <w:rFonts w:eastAsiaTheme="minorEastAsia"/>
                <w:lang w:eastAsia="zh-TW"/>
              </w:rPr>
            </w:pPr>
            <w:r>
              <w:rPr>
                <w:rFonts w:eastAsiaTheme="minorEastAsia"/>
                <w:lang w:eastAsia="zh-TW"/>
              </w:rPr>
              <w:t xml:space="preserve">Spatial domain/antenna adaptation in BS, NES CSI calculation in UE, </w:t>
            </w:r>
          </w:p>
        </w:tc>
      </w:tr>
      <w:tr w14:paraId="7430490A">
        <w:trPr>
          <w:trHeight w:val="286" w:hRule="atLeast"/>
        </w:trPr>
        <w:tc>
          <w:tcPr>
            <w:tcW w:w="9210" w:type="dxa"/>
            <w:gridSpan w:val="2"/>
            <w:tcBorders>
              <w:top w:val="single" w:color="000000" w:sz="4" w:space="0"/>
              <w:left w:val="single" w:color="000000" w:sz="4" w:space="0"/>
              <w:bottom w:val="single" w:color="000000" w:sz="4" w:space="0"/>
              <w:right w:val="single" w:color="000000" w:sz="4" w:space="0"/>
            </w:tcBorders>
          </w:tcPr>
          <w:p w14:paraId="4948429C">
            <w:pPr>
              <w:rPr>
                <w:rFonts w:eastAsiaTheme="minorEastAsia"/>
                <w:lang w:eastAsia="zh-TW"/>
              </w:rPr>
            </w:pPr>
          </w:p>
        </w:tc>
      </w:tr>
      <w:tr w14:paraId="37CB71CB">
        <w:trPr>
          <w:trHeight w:val="286" w:hRule="atLeast"/>
        </w:trPr>
        <w:tc>
          <w:tcPr>
            <w:tcW w:w="4257" w:type="dxa"/>
            <w:tcBorders>
              <w:top w:val="single" w:color="000000" w:sz="4" w:space="0"/>
              <w:left w:val="single" w:color="000000" w:sz="4" w:space="0"/>
              <w:bottom w:val="single" w:color="000000" w:sz="4" w:space="0"/>
              <w:right w:val="single" w:color="000000" w:sz="4" w:space="0"/>
            </w:tcBorders>
          </w:tcPr>
          <w:p w14:paraId="7B6EF3D3">
            <w:pPr>
              <w:rPr>
                <w:rFonts w:eastAsiaTheme="minorEastAsia"/>
                <w:lang w:eastAsia="zh-TW"/>
              </w:rPr>
            </w:pPr>
            <w:r>
              <w:rPr>
                <w:rFonts w:eastAsiaTheme="minorEastAsia"/>
                <w:lang w:eastAsia="zh-TW"/>
              </w:rPr>
              <w:t>UE Power models &amp; evaluation methodologies &amp; evaluation metric</w:t>
            </w:r>
          </w:p>
        </w:tc>
        <w:tc>
          <w:tcPr>
            <w:tcW w:w="4953" w:type="dxa"/>
            <w:tcBorders>
              <w:top w:val="single" w:color="000000" w:sz="4" w:space="0"/>
              <w:left w:val="single" w:color="000000" w:sz="4" w:space="0"/>
              <w:bottom w:val="single" w:color="000000" w:sz="4" w:space="0"/>
              <w:right w:val="single" w:color="000000" w:sz="4" w:space="0"/>
            </w:tcBorders>
          </w:tcPr>
          <w:p w14:paraId="6A8CD4C5">
            <w:pPr>
              <w:rPr>
                <w:rFonts w:eastAsiaTheme="minorEastAsia"/>
                <w:vertAlign w:val="subscript"/>
                <w:lang w:eastAsia="zh-TW"/>
              </w:rPr>
            </w:pPr>
            <w:r>
              <w:rPr>
                <w:rFonts w:eastAsiaTheme="minorEastAsia"/>
                <w:lang w:eastAsia="zh-TW"/>
              </w:rPr>
              <w:t>Methodology includes scenarios, baselines, etc.</w:t>
            </w:r>
          </w:p>
        </w:tc>
      </w:tr>
    </w:tbl>
    <w:p w14:paraId="296BD983">
      <w:pPr>
        <w:jc w:val="center"/>
      </w:pPr>
    </w:p>
    <w:p w14:paraId="4A75523F">
      <w:pPr>
        <w:rPr>
          <w:lang w:eastAsia="zh-CN"/>
        </w:rPr>
      </w:pPr>
      <w:r>
        <w:rPr>
          <w:lang w:eastAsia="ja-JP"/>
        </w:rPr>
        <w:t>In this section, we’ll</w:t>
      </w:r>
      <w:r>
        <w:rPr>
          <w:rFonts w:hint="eastAsia"/>
          <w:lang w:val="en-US" w:eastAsia="zh-CN"/>
        </w:rPr>
        <w:t xml:space="preserve"> further</w:t>
      </w:r>
      <w:r>
        <w:rPr>
          <w:lang w:eastAsia="ja-JP"/>
        </w:rPr>
        <w:t xml:space="preserve"> discuss potential 6GR EE technologies</w:t>
      </w:r>
      <w:r>
        <w:rPr>
          <w:rFonts w:hint="eastAsia"/>
          <w:lang w:eastAsia="zh-CN"/>
        </w:rPr>
        <w:t xml:space="preserve"> or</w:t>
      </w:r>
      <w:r>
        <w:rPr>
          <w:lang w:eastAsia="zh-CN"/>
        </w:rPr>
        <w:t xml:space="preserve"> technologies enhancement based on three principles of on-demand transmission with less ON and more OFF, simplified design and low-power signal design. </w:t>
      </w:r>
    </w:p>
    <w:p w14:paraId="40CCCC36">
      <w:pPr>
        <w:pStyle w:val="3"/>
        <w:numPr>
          <w:ilvl w:val="1"/>
          <w:numId w:val="0"/>
        </w:numPr>
        <w:tabs>
          <w:tab w:val="clear" w:pos="576"/>
        </w:tabs>
        <w:ind w:leftChars="0"/>
        <w:rPr>
          <w:lang w:eastAsia="zh-CN"/>
        </w:rPr>
      </w:pPr>
      <w:r>
        <w:rPr>
          <w:rFonts w:hint="eastAsia"/>
          <w:lang w:val="en-US" w:eastAsia="zh-CN"/>
        </w:rPr>
        <w:t>5.1</w:t>
      </w:r>
      <w:r>
        <w:rPr>
          <w:lang w:eastAsia="zh-CN"/>
        </w:rPr>
        <w:t xml:space="preserve"> Cell level related 6GR EE technologies</w:t>
      </w:r>
    </w:p>
    <w:p w14:paraId="3510216A">
      <w:pPr>
        <w:numPr>
          <w:ilvl w:val="0"/>
          <w:numId w:val="0"/>
        </w:numPr>
        <w:outlineLvl w:val="2"/>
        <w:rPr>
          <w:rFonts w:hint="default"/>
          <w:lang w:val="en-US" w:eastAsia="zh-CN"/>
        </w:rPr>
      </w:pPr>
      <w:r>
        <w:rPr>
          <w:rFonts w:hint="eastAsia"/>
          <w:b/>
          <w:bCs/>
          <w:lang w:val="en-US" w:eastAsia="zh-CN"/>
        </w:rPr>
        <w:t>5.1.1 C</w:t>
      </w:r>
      <w:r>
        <w:rPr>
          <w:rFonts w:hint="default"/>
          <w:b/>
          <w:bCs/>
          <w:lang w:val="en-US" w:eastAsia="zh-CN"/>
        </w:rPr>
        <w:t xml:space="preserve">ommon signals transmission </w:t>
      </w:r>
    </w:p>
    <w:p w14:paraId="4025135D">
      <w:pPr>
        <w:outlineLvl w:val="3"/>
        <w:rPr>
          <w:b/>
          <w:bCs/>
          <w:lang w:eastAsia="zh-CN"/>
        </w:rPr>
      </w:pPr>
      <w:r>
        <w:rPr>
          <w:rFonts w:hint="eastAsia"/>
          <w:b/>
          <w:bCs/>
          <w:lang w:eastAsia="zh-CN"/>
        </w:rPr>
        <w:t xml:space="preserve">5.1.1.1 </w:t>
      </w:r>
      <w:r>
        <w:rPr>
          <w:b/>
          <w:bCs/>
          <w:lang w:eastAsia="zh-CN"/>
        </w:rPr>
        <w:t>On-demand</w:t>
      </w:r>
      <w:r>
        <w:rPr>
          <w:rFonts w:hint="eastAsia"/>
          <w:b/>
          <w:bCs/>
          <w:lang w:eastAsia="zh-CN"/>
        </w:rPr>
        <w:t xml:space="preserve"> transmission</w:t>
      </w:r>
    </w:p>
    <w:p w14:paraId="5BB768DD">
      <w:pPr>
        <w:outlineLvl w:val="4"/>
        <w:rPr>
          <w:rFonts w:hint="eastAsia"/>
          <w:b/>
          <w:bCs/>
          <w:lang w:eastAsia="zh-CN"/>
        </w:rPr>
      </w:pPr>
      <w:r>
        <w:rPr>
          <w:b/>
          <w:bCs/>
          <w:lang w:eastAsia="zh-CN"/>
        </w:rPr>
        <w:t xml:space="preserve">5.1.1.1.1 </w:t>
      </w:r>
      <w:r>
        <w:rPr>
          <w:rFonts w:hint="eastAsia"/>
          <w:b/>
          <w:bCs/>
          <w:lang w:eastAsia="zh-CN"/>
        </w:rPr>
        <w:t>SSB</w:t>
      </w:r>
    </w:p>
    <w:p w14:paraId="63C81702">
      <w:pPr>
        <w:rPr>
          <w:rFonts w:ascii="Times" w:hAnsi="Times" w:eastAsia="等线" w:cs="Arial"/>
          <w:szCs w:val="24"/>
          <w:lang w:eastAsia="zh-CN"/>
        </w:rPr>
      </w:pPr>
      <w:r>
        <w:rPr>
          <w:lang w:eastAsia="zh-CN"/>
        </w:rPr>
        <w:t>I</w:t>
      </w:r>
      <w:r>
        <w:rPr>
          <w:rFonts w:hint="eastAsia"/>
          <w:lang w:eastAsia="zh-CN"/>
        </w:rPr>
        <w:t>n</w:t>
      </w:r>
      <w:r>
        <w:rPr>
          <w:lang w:eastAsia="zh-CN"/>
        </w:rPr>
        <w:t xml:space="preserve"> </w:t>
      </w:r>
      <w:r>
        <w:rPr>
          <w:rFonts w:hint="eastAsia"/>
          <w:lang w:eastAsia="zh-CN"/>
        </w:rPr>
        <w:t>l</w:t>
      </w:r>
      <w:r>
        <w:rPr>
          <w:lang w:eastAsia="zh-CN"/>
        </w:rPr>
        <w:t>ast meeting, o</w:t>
      </w:r>
      <w:r>
        <w:rPr>
          <w:rFonts w:ascii="Times" w:hAnsi="Times" w:eastAsia="等线" w:cs="Arial"/>
          <w:szCs w:val="24"/>
          <w:lang w:eastAsia="zh-CN"/>
        </w:rPr>
        <w:t>n-demand sync signal(s) mechanisms were discussed and the following agreement was achieved.</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3D3E6275">
        <w:tc>
          <w:tcPr>
            <w:tcW w:w="9307" w:type="dxa"/>
          </w:tcPr>
          <w:p w14:paraId="36951B4E">
            <w:pPr>
              <w:widowControl w:val="0"/>
              <w:tabs>
                <w:tab w:val="left" w:pos="0"/>
              </w:tabs>
              <w:suppressAutoHyphens/>
              <w:autoSpaceDE/>
              <w:autoSpaceDN/>
              <w:adjustRightInd/>
              <w:spacing w:after="0" w:line="256" w:lineRule="auto"/>
              <w:rPr>
                <w:rFonts w:ascii="Times" w:hAnsi="Times" w:eastAsia="等线" w:cs="Arial"/>
                <w:szCs w:val="24"/>
                <w:highlight w:val="green"/>
                <w:lang w:eastAsia="zh-CN"/>
              </w:rPr>
            </w:pPr>
            <w:r>
              <w:rPr>
                <w:rFonts w:hint="eastAsia" w:ascii="Times" w:hAnsi="Times" w:eastAsia="等线" w:cs="Arial"/>
                <w:szCs w:val="24"/>
                <w:highlight w:val="green"/>
                <w:lang w:eastAsia="zh-CN"/>
              </w:rPr>
              <w:t>Agreement</w:t>
            </w:r>
          </w:p>
          <w:p w14:paraId="11455C7A">
            <w:pPr>
              <w:widowControl w:val="0"/>
              <w:autoSpaceDE/>
              <w:autoSpaceDN/>
              <w:adjustRightInd/>
              <w:spacing w:after="0" w:line="252" w:lineRule="auto"/>
              <w:rPr>
                <w:rFonts w:ascii="Times" w:hAnsi="Times" w:eastAsia="等线" w:cs="Arial"/>
                <w:szCs w:val="24"/>
                <w:lang w:eastAsia="zh-CN"/>
              </w:rPr>
            </w:pPr>
            <w:r>
              <w:rPr>
                <w:rFonts w:ascii="Times" w:hAnsi="Times" w:eastAsia="Calibri" w:cs="Arial"/>
                <w:szCs w:val="24"/>
              </w:rPr>
              <w:t xml:space="preserve">Study and evaluate </w:t>
            </w:r>
            <w:r>
              <w:rPr>
                <w:rFonts w:ascii="Times" w:hAnsi="Times" w:eastAsia="等线" w:cs="Arial"/>
                <w:szCs w:val="24"/>
                <w:lang w:eastAsia="zh-CN"/>
              </w:rPr>
              <w:t>on-demand sync signal(s) mechanisms</w:t>
            </w:r>
            <w:r>
              <w:rPr>
                <w:rFonts w:ascii="Times" w:hAnsi="Times" w:eastAsia="Calibri" w:cs="Arial"/>
                <w:szCs w:val="24"/>
              </w:rPr>
              <w:t xml:space="preserve"> for 6GR energy efficiency, considering, e.g.,:</w:t>
            </w:r>
          </w:p>
          <w:p w14:paraId="2CF95F55">
            <w:pPr>
              <w:widowControl w:val="0"/>
              <w:numPr>
                <w:ilvl w:val="0"/>
                <w:numId w:val="23"/>
              </w:numPr>
              <w:suppressAutoHyphens/>
              <w:autoSpaceDE/>
              <w:autoSpaceDN/>
              <w:adjustRightInd/>
              <w:snapToGrid/>
              <w:spacing w:after="0" w:line="252" w:lineRule="auto"/>
              <w:rPr>
                <w:rFonts w:ascii="Times" w:hAnsi="Times" w:eastAsia="Calibri" w:cs="Arial"/>
                <w:szCs w:val="24"/>
                <w:lang w:eastAsia="zh-CN"/>
              </w:rPr>
            </w:pPr>
            <w:r>
              <w:rPr>
                <w:rFonts w:ascii="Times" w:hAnsi="Times" w:eastAsia="Calibri" w:cs="Arial"/>
                <w:szCs w:val="24"/>
                <w:lang w:eastAsia="zh-CN"/>
              </w:rPr>
              <w:t>On-demand sync signal(s) for single cell/carrier, multi-carrier/cell, multi-TRP,</w:t>
            </w:r>
          </w:p>
          <w:p w14:paraId="75CAFD64">
            <w:pPr>
              <w:widowControl w:val="0"/>
              <w:numPr>
                <w:ilvl w:val="0"/>
                <w:numId w:val="23"/>
              </w:numPr>
              <w:suppressAutoHyphens/>
              <w:autoSpaceDE/>
              <w:autoSpaceDN/>
              <w:adjustRightInd/>
              <w:snapToGrid/>
              <w:spacing w:after="0" w:line="252" w:lineRule="auto"/>
              <w:rPr>
                <w:rFonts w:ascii="Times" w:hAnsi="Times" w:eastAsia="Calibri" w:cs="Arial"/>
                <w:szCs w:val="24"/>
              </w:rPr>
            </w:pPr>
            <w:r>
              <w:rPr>
                <w:rFonts w:ascii="Times" w:hAnsi="Times" w:eastAsia="等线" w:cs="Arial"/>
                <w:szCs w:val="24"/>
                <w:lang w:eastAsia="zh-CN"/>
              </w:rPr>
              <w:t>Network-triggered and UE-triggered on-demand sync signal(s),</w:t>
            </w:r>
          </w:p>
          <w:p w14:paraId="0767EA68">
            <w:pPr>
              <w:widowControl w:val="0"/>
              <w:numPr>
                <w:ilvl w:val="0"/>
                <w:numId w:val="23"/>
              </w:numPr>
              <w:suppressAutoHyphens/>
              <w:autoSpaceDE/>
              <w:autoSpaceDN/>
              <w:adjustRightInd/>
              <w:snapToGrid/>
              <w:spacing w:after="0" w:line="252" w:lineRule="auto"/>
              <w:rPr>
                <w:rFonts w:ascii="Times" w:hAnsi="Times" w:eastAsia="Calibri" w:cs="Arial"/>
                <w:strike/>
              </w:rPr>
            </w:pPr>
            <w:r>
              <w:rPr>
                <w:rFonts w:ascii="Times" w:hAnsi="Times" w:eastAsia="等线" w:cs="Arial"/>
                <w:szCs w:val="24"/>
                <w:lang w:eastAsia="zh-CN"/>
              </w:rPr>
              <w:t>Idle and/or connected modes,</w:t>
            </w:r>
          </w:p>
          <w:p w14:paraId="260C3448">
            <w:pPr>
              <w:widowControl w:val="0"/>
              <w:numPr>
                <w:ilvl w:val="0"/>
                <w:numId w:val="23"/>
              </w:numPr>
              <w:suppressAutoHyphens/>
              <w:autoSpaceDE/>
              <w:autoSpaceDN/>
              <w:adjustRightInd/>
              <w:snapToGrid/>
              <w:spacing w:after="0" w:line="252" w:lineRule="auto"/>
              <w:rPr>
                <w:rFonts w:ascii="Times" w:hAnsi="Times" w:eastAsia="Calibri" w:cs="Arial"/>
                <w:szCs w:val="24"/>
              </w:rPr>
            </w:pPr>
            <w:r>
              <w:rPr>
                <w:rFonts w:ascii="Times" w:hAnsi="Times" w:eastAsia="等线" w:cs="Arial"/>
                <w:szCs w:val="24"/>
                <w:lang w:eastAsia="zh-CN"/>
              </w:rPr>
              <w:t>Other mechanisms/aspects/signals/channels are not precluded.</w:t>
            </w:r>
          </w:p>
        </w:tc>
      </w:tr>
    </w:tbl>
    <w:p w14:paraId="77C62BE5">
      <w:pPr>
        <w:rPr>
          <w:lang w:eastAsia="zh-CN"/>
        </w:rPr>
      </w:pPr>
    </w:p>
    <w:p w14:paraId="06301FD3">
      <w:pPr>
        <w:rPr>
          <w:lang w:eastAsia="zh-CN"/>
        </w:rPr>
      </w:pPr>
      <w:r>
        <w:rPr>
          <w:lang w:eastAsia="zh-CN"/>
        </w:rPr>
        <w:t>Although NR has introduced an energy-saving mechanism of SSB transmission based on on-demand triggering, the current on-demand SSB mechanism is limited to serving Scells in CA in the connected mode. It cannot be applied to idle mode, as this may lead to coverage-related issues where devices fail to detect the network due to absent synchronization signals. 6G should further advance and strengthen the ultra-lean design principle established in NR, aiming to minimize the persistent transmission of always-on signals and channels. In the context of 6G standardization, synchronization signals should support low-power, on-demand transmission: regular transmission can be significantly reduced or suspended when no UE requires access, while the network must be capable of rapidly resuming synchronization signal transmission upon receiving an access request or detecting a specific triggering event. However, for UEs in the idle mode, such on-demand transmission introduces challenges for initial access. For instance, consider a 6G network that does not continuously broadcast synchronization signals, a new UE entering such a cell would be unable to detect any downlink signals, thereby preventing it from initiating random access. The challenges for the on-demand transmission mechanism include:</w:t>
      </w:r>
    </w:p>
    <w:p w14:paraId="216129BC">
      <w:pPr>
        <w:rPr>
          <w:lang w:eastAsia="zh-CN"/>
        </w:rPr>
      </w:pPr>
      <w:r>
        <w:rPr>
          <w:lang w:eastAsia="zh-CN"/>
        </w:rPr>
        <w:t xml:space="preserve">1) How to enable idle-mode UEs to inform the network of their need for synchronization signals, which may necessitate mechanisms such as UE actively awakening dormant cells;  </w:t>
      </w:r>
    </w:p>
    <w:p w14:paraId="353660A1">
      <w:pPr>
        <w:rPr>
          <w:lang w:eastAsia="zh-CN"/>
        </w:rPr>
      </w:pPr>
      <w:r>
        <w:rPr>
          <w:lang w:eastAsia="zh-CN"/>
        </w:rPr>
        <w:t xml:space="preserve">2) How to reliably transmit the triggering signals under asynchronous conditions. Specifically, in conventional communication systems, UEs first achieve downlink synchronization before transmitting a preamble for random access. As a result, the base station only needs to search within a narrow time window during the configured PRACH occasion. However, when a UE operates in an asynchronous state—such as </w:t>
      </w:r>
      <w:bookmarkStart w:id="17" w:name="_Hlk213231444"/>
      <w:r>
        <w:rPr>
          <w:lang w:eastAsia="zh-CN"/>
        </w:rPr>
        <w:t>upon power-up, or after prolonged sleep</w:t>
      </w:r>
      <w:bookmarkEnd w:id="17"/>
      <w:r>
        <w:rPr>
          <w:lang w:eastAsia="zh-CN"/>
        </w:rPr>
        <w:t>—the uplink signal it transmits may arrive at the base station with significant timing and frequency offsets, complicating detection at the receiver.</w:t>
      </w:r>
    </w:p>
    <w:p w14:paraId="019FF568">
      <w:pPr>
        <w:rPr>
          <w:rFonts w:hint="default" w:ascii="Times New Roman Bold Italic" w:hAnsi="Times New Roman Bold Italic" w:cs="Times New Roman Bold Italic"/>
          <w:b/>
          <w:bCs/>
          <w:i/>
          <w:iCs/>
          <w:lang w:eastAsia="zh-CN"/>
        </w:rPr>
      </w:pPr>
      <w:r>
        <w:rPr>
          <w:rFonts w:hint="default"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val="en-US" w:eastAsia="zh-CN"/>
        </w:rPr>
        <w:t>18</w:t>
      </w:r>
      <w:r>
        <w:rPr>
          <w:rFonts w:hint="default" w:ascii="Times New Roman Bold Italic" w:hAnsi="Times New Roman Bold Italic" w:cs="Times New Roman Bold Italic"/>
          <w:b/>
          <w:bCs/>
          <w:i/>
          <w:iCs/>
          <w:lang w:eastAsia="zh-CN"/>
        </w:rPr>
        <w:t>: For UEs in idle mode, such on-demand transmission introduces challenges for initial access, including:</w:t>
      </w:r>
    </w:p>
    <w:p w14:paraId="1C416D8A">
      <w:pPr>
        <w:pStyle w:val="51"/>
        <w:numPr>
          <w:ilvl w:val="0"/>
          <w:numId w:val="24"/>
        </w:numPr>
        <w:rPr>
          <w:rFonts w:hint="default" w:ascii="Times New Roman Bold Italic" w:hAnsi="Times New Roman Bold Italic" w:cs="Times New Roman Bold Italic"/>
          <w:b/>
          <w:bCs/>
          <w:i/>
          <w:iCs/>
          <w:sz w:val="22"/>
          <w:szCs w:val="22"/>
          <w:lang w:eastAsia="zh-CN"/>
        </w:rPr>
      </w:pPr>
      <w:r>
        <w:rPr>
          <w:rFonts w:hint="default" w:ascii="Times New Roman Bold Italic" w:hAnsi="Times New Roman Bold Italic" w:cs="Times New Roman Bold Italic"/>
          <w:b/>
          <w:bCs/>
          <w:i/>
          <w:iCs/>
          <w:sz w:val="22"/>
          <w:szCs w:val="22"/>
          <w:lang w:eastAsia="zh-CN"/>
        </w:rPr>
        <w:t>How to enable UEs in idle-mode to inform the network of their need for synchronization signals</w:t>
      </w:r>
    </w:p>
    <w:p w14:paraId="6BC75DE2">
      <w:pPr>
        <w:pStyle w:val="51"/>
        <w:numPr>
          <w:ilvl w:val="0"/>
          <w:numId w:val="24"/>
        </w:numPr>
        <w:rPr>
          <w:rFonts w:hint="default" w:ascii="Times New Roman Bold Italic" w:hAnsi="Times New Roman Bold Italic" w:cs="Times New Roman Bold Italic"/>
          <w:b/>
          <w:bCs/>
          <w:i/>
          <w:iCs/>
          <w:sz w:val="22"/>
          <w:szCs w:val="22"/>
          <w:lang w:eastAsia="zh-CN"/>
        </w:rPr>
      </w:pPr>
      <w:r>
        <w:rPr>
          <w:rFonts w:hint="default" w:ascii="Times New Roman Bold Italic" w:hAnsi="Times New Roman Bold Italic" w:cs="Times New Roman Bold Italic"/>
          <w:b/>
          <w:bCs/>
          <w:i/>
          <w:iCs/>
          <w:sz w:val="22"/>
          <w:szCs w:val="22"/>
          <w:lang w:eastAsia="zh-CN"/>
        </w:rPr>
        <w:t>How to reliably transmit the triggering signals under asynchronous conditions, such as when a UE is upon power-up, or after prolonged sleep</w:t>
      </w:r>
    </w:p>
    <w:p w14:paraId="63B54B36">
      <w:pPr>
        <w:rPr>
          <w:lang w:eastAsia="zh-CN"/>
        </w:rPr>
      </w:pPr>
      <w:r>
        <w:rPr>
          <w:lang w:eastAsia="zh-CN"/>
        </w:rPr>
        <w:t>Upon entering the connected mode, the UE continues to rely on synchronization signals to maintain time and frequency synchronization with the network and to perform RRM measurements. Currently, most synchronization-related functions are based on the SSB or other downlink reference signals such as CSI-RS. The existing NR on-demand SSB mechanism is restricted to specific scenarios, namely secondary cells. In NR, the SSB on the Pcell is an always-on signal (the Pcell includes single-carrier cells and multi-carrier primary cells), one of the reasons being that the Pcell usually needs to carry important control information, such as cell-level control information (e.g., MIB, SIB), and the signaling of the secondary cell is controlled by the primary cell. When the UE is out of sync on the primary cell, the signaling reliability of the entire network decreases. In 6G networks, there are still UEs operating in single-carrier. When the UE on this cell is not frequently active, the base station still needs to periodically send SSB, and the UE still needs to periodically wake up to receive SSB, which brings power waste to the base station.</w:t>
      </w:r>
    </w:p>
    <w:p w14:paraId="1F4D4F3A">
      <w:pPr>
        <w:rPr>
          <w:rFonts w:hint="default" w:ascii="Times New Roman Bold Italic" w:hAnsi="Times New Roman Bold Italic" w:cs="Times New Roman Bold Italic"/>
          <w:b/>
          <w:bCs/>
          <w:i/>
          <w:iCs/>
          <w:lang w:eastAsia="zh-CN"/>
        </w:rPr>
      </w:pPr>
      <w:r>
        <w:rPr>
          <w:rFonts w:hint="default"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val="en-US" w:eastAsia="zh-CN"/>
        </w:rPr>
        <w:t>19</w:t>
      </w:r>
      <w:r>
        <w:rPr>
          <w:rFonts w:hint="default" w:ascii="Times New Roman Bold Italic" w:hAnsi="Times New Roman Bold Italic" w:cs="Times New Roman Bold Italic"/>
          <w:b/>
          <w:bCs/>
          <w:i/>
          <w:iCs/>
          <w:lang w:eastAsia="zh-CN"/>
        </w:rPr>
        <w:t>: For connected mode, the existing NR on-demand SSB mechanism is restricted to SCells. However, in 6G networks, there are still UEs operating in single-carrier. When the UE on this cell is not frequently active, the base station still needs to periodically send SSB, and the UE still needs to periodically wake up to receive SSB, which brings power waste to the base station.</w:t>
      </w:r>
    </w:p>
    <w:p w14:paraId="2D2902B9">
      <w:pPr>
        <w:rPr>
          <w:lang w:eastAsia="zh-CN"/>
        </w:rPr>
      </w:pPr>
      <w:r>
        <w:rPr>
          <w:lang w:eastAsia="zh-CN"/>
        </w:rPr>
        <w:t>Furthermore, in 6G, it was proposed treating several discontinuous frequency bands as a single carrier, that means managing multiple fragmented frequency bands as a single cell. The UE needs to operate time and frequency synchronization for each band in the cell. If synchronization is performed per band in the cell, UE will consume a lot of power when receiving synchronization signals across multiple frequency bands.</w:t>
      </w:r>
    </w:p>
    <w:p w14:paraId="027299AB">
      <w:pPr>
        <w:rPr>
          <w:rFonts w:hint="default" w:ascii="Times New Roman Bold Italic" w:hAnsi="Times New Roman Bold Italic" w:cs="Times New Roman Bold Italic"/>
          <w:b/>
          <w:bCs/>
          <w:i/>
          <w:iCs/>
          <w:lang w:eastAsia="zh-CN"/>
        </w:rPr>
      </w:pPr>
      <w:r>
        <w:rPr>
          <w:rFonts w:hint="default"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val="en-US" w:eastAsia="zh-CN"/>
        </w:rPr>
        <w:t>20</w:t>
      </w:r>
      <w:r>
        <w:rPr>
          <w:rFonts w:hint="default" w:ascii="Times New Roman Bold Italic" w:hAnsi="Times New Roman Bold Italic" w:cs="Times New Roman Bold Italic"/>
          <w:b/>
          <w:bCs/>
          <w:i/>
          <w:iCs/>
          <w:lang w:eastAsia="zh-CN"/>
        </w:rPr>
        <w:t xml:space="preserve">: </w:t>
      </w:r>
      <w:r>
        <w:rPr>
          <w:rFonts w:hint="default" w:ascii="Times New Roman Bold Italic" w:hAnsi="Times New Roman Bold Italic" w:cs="Times New Roman Bold Italic"/>
          <w:b/>
          <w:bCs/>
          <w:i/>
          <w:iCs/>
          <w:lang w:val="en-US" w:eastAsia="zh-CN"/>
        </w:rPr>
        <w:t>I</w:t>
      </w:r>
      <w:r>
        <w:rPr>
          <w:rFonts w:hint="default" w:ascii="Times New Roman Bold Italic" w:hAnsi="Times New Roman Bold Italic" w:cs="Times New Roman Bold Italic"/>
          <w:b/>
          <w:bCs/>
          <w:i/>
          <w:iCs/>
          <w:lang w:eastAsia="zh-CN"/>
        </w:rPr>
        <w:t>n case of multiple carrier single cell, if synchronization is performed per band in the cell, UE will consume a lot of power when receiving synchronization signals across multiple frequency bands.</w:t>
      </w:r>
    </w:p>
    <w:p w14:paraId="193AD0FE">
      <w:pPr>
        <w:rPr>
          <w:rFonts w:hint="default"/>
          <w:b/>
          <w:bCs/>
          <w:lang w:val="en-US" w:eastAsia="zh-CN"/>
        </w:rPr>
      </w:pPr>
      <w:r>
        <w:rPr>
          <w:rFonts w:hint="default"/>
          <w:b w:val="0"/>
          <w:bCs w:val="0"/>
          <w:lang w:val="en-US" w:eastAsia="zh-CN"/>
        </w:rPr>
        <w:t>In addition, from 6G SSB structure opinions, companies have discussed some of potential sync signal structures in AI 11.1 or 11.5, which includes two-stages sync signal for 6G or puncturing pattern based on 5G SSB considering minimum bandwidth or Cell searching requirement. From our perspective,  6G sync signal with the requirement of on-demand could be considered while discussing structure of sync signal, e.g., on-demand PSS/SSS or on-demand PBCH based on structure design, etc.</w:t>
      </w:r>
    </w:p>
    <w:p w14:paraId="054C3478">
      <w:pPr>
        <w:rPr>
          <w:rFonts w:hint="default"/>
          <w:b/>
          <w:bCs/>
          <w:i/>
          <w:iCs/>
          <w:lang w:val="en-US" w:eastAsia="zh-CN"/>
        </w:rPr>
      </w:pPr>
      <w:r>
        <w:rPr>
          <w:b/>
          <w:bCs/>
          <w:i/>
          <w:iCs/>
          <w:lang w:eastAsia="zh-CN"/>
        </w:rPr>
        <w:t>O</w:t>
      </w:r>
      <w:r>
        <w:rPr>
          <w:rFonts w:hint="eastAsia"/>
          <w:b/>
          <w:bCs/>
          <w:i/>
          <w:iCs/>
          <w:lang w:eastAsia="zh-CN"/>
        </w:rPr>
        <w:t>bservation</w:t>
      </w:r>
      <w:r>
        <w:rPr>
          <w:b/>
          <w:bCs/>
          <w:i/>
          <w:iCs/>
          <w:lang w:eastAsia="zh-CN"/>
        </w:rPr>
        <w:t xml:space="preserve"> </w:t>
      </w:r>
      <w:r>
        <w:rPr>
          <w:rFonts w:hint="eastAsia"/>
          <w:b/>
          <w:bCs/>
          <w:i/>
          <w:iCs/>
          <w:lang w:val="en-US" w:eastAsia="zh-CN"/>
        </w:rPr>
        <w:t>21</w:t>
      </w:r>
      <w:r>
        <w:rPr>
          <w:rFonts w:hint="default"/>
          <w:b/>
          <w:bCs/>
          <w:i/>
          <w:iCs/>
          <w:lang w:val="en-US" w:eastAsia="zh-CN"/>
        </w:rPr>
        <w:t>: From 6G SSB structure consideration, the requirement of on-demand has been discussed in some of companies’ tdocs  in AI 11.1 or 11.5.</w:t>
      </w:r>
    </w:p>
    <w:p w14:paraId="5891DBE6">
      <w:pPr>
        <w:rPr>
          <w:rFonts w:hint="eastAsia"/>
          <w:lang w:eastAsia="zh-CN"/>
        </w:rPr>
      </w:pPr>
      <w:r>
        <w:rPr>
          <w:lang w:eastAsia="zh-CN"/>
        </w:rPr>
        <w:t xml:space="preserve">Based on the discussion above, different </w:t>
      </w:r>
      <w:r>
        <w:rPr>
          <w:rFonts w:ascii="Times" w:hAnsi="Times" w:eastAsia="等线" w:cs="Arial"/>
          <w:szCs w:val="24"/>
          <w:lang w:eastAsia="zh-CN"/>
        </w:rPr>
        <w:t xml:space="preserve">on-demand sync mechanisms should be studied in SI stage, including UE triggered, network triggered or automatic triggered by events. </w:t>
      </w:r>
      <w:r>
        <w:rPr>
          <w:lang w:eastAsia="zh-CN"/>
        </w:rPr>
        <w:t xml:space="preserve">For example, </w:t>
      </w:r>
      <w:r>
        <w:rPr>
          <w:rFonts w:ascii="Times" w:hAnsi="Times" w:eastAsia="等线" w:cs="Arial"/>
          <w:szCs w:val="24"/>
          <w:lang w:eastAsia="zh-CN"/>
        </w:rPr>
        <w:t>by UE triggered mechanism, the UE requests the synchronization signal, which can avoid the problem of difficulty for IDLE mode UEs to access the network. When the UE has an access requirement, the network can quickly transmit the synchronization signal to ensure services.</w:t>
      </w:r>
    </w:p>
    <w:p w14:paraId="2E4FF1F1">
      <w:pPr>
        <w:rPr>
          <w:rFonts w:ascii="Times" w:hAnsi="Times" w:eastAsia="等线" w:cs="Arial"/>
          <w:b/>
          <w:bCs/>
          <w:i/>
          <w:iCs/>
          <w:szCs w:val="24"/>
          <w:lang w:eastAsia="zh-CN"/>
        </w:rPr>
      </w:pPr>
      <w:r>
        <w:rPr>
          <w:rFonts w:hint="eastAsia"/>
          <w:b/>
          <w:bCs/>
          <w:i/>
          <w:iCs/>
          <w:lang w:eastAsia="zh-CN"/>
        </w:rPr>
        <w:t>P</w:t>
      </w:r>
      <w:r>
        <w:rPr>
          <w:b/>
          <w:bCs/>
          <w:i/>
          <w:iCs/>
          <w:lang w:eastAsia="zh-CN"/>
        </w:rPr>
        <w:t xml:space="preserve">roposal </w:t>
      </w:r>
      <w:r>
        <w:rPr>
          <w:rFonts w:hint="eastAsia"/>
          <w:b/>
          <w:bCs/>
          <w:i/>
          <w:iCs/>
          <w:lang w:val="en-US" w:eastAsia="zh-CN"/>
        </w:rPr>
        <w:t>19</w:t>
      </w:r>
      <w:r>
        <w:rPr>
          <w:b/>
          <w:bCs/>
          <w:i/>
          <w:iCs/>
          <w:lang w:eastAsia="zh-CN"/>
        </w:rPr>
        <w:t xml:space="preserve">: Further study different </w:t>
      </w:r>
      <w:r>
        <w:rPr>
          <w:rFonts w:ascii="Times" w:hAnsi="Times" w:eastAsia="等线" w:cs="Arial"/>
          <w:b/>
          <w:bCs/>
          <w:i/>
          <w:iCs/>
          <w:szCs w:val="24"/>
          <w:lang w:eastAsia="zh-CN"/>
        </w:rPr>
        <w:t>on-demand sync mechanisms including UE triggered, network triggered or automatic triggered by events, considering the following scenarios:</w:t>
      </w:r>
    </w:p>
    <w:p w14:paraId="477A52C7">
      <w:pPr>
        <w:pStyle w:val="51"/>
        <w:numPr>
          <w:ilvl w:val="0"/>
          <w:numId w:val="25"/>
        </w:numPr>
        <w:rPr>
          <w:rFonts w:ascii="Times New Roman" w:hAnsi="Times New Roman"/>
          <w:b/>
          <w:bCs/>
          <w:i/>
          <w:iCs/>
          <w:sz w:val="22"/>
          <w:szCs w:val="22"/>
          <w:lang w:eastAsia="zh-CN"/>
        </w:rPr>
      </w:pPr>
      <w:r>
        <w:rPr>
          <w:rFonts w:ascii="Times New Roman" w:hAnsi="Times New Roman"/>
          <w:b/>
          <w:bCs/>
          <w:i/>
          <w:iCs/>
          <w:sz w:val="22"/>
          <w:szCs w:val="22"/>
          <w:lang w:eastAsia="zh-CN"/>
        </w:rPr>
        <w:t>Different RRC state, e.g., Idle mode, connected mode</w:t>
      </w:r>
    </w:p>
    <w:p w14:paraId="2385EF2C">
      <w:pPr>
        <w:pStyle w:val="51"/>
        <w:numPr>
          <w:ilvl w:val="0"/>
          <w:numId w:val="25"/>
        </w:numPr>
        <w:rPr>
          <w:rFonts w:ascii="Times New Roman" w:hAnsi="Times New Roman"/>
          <w:b/>
          <w:bCs/>
          <w:i/>
          <w:iCs/>
          <w:sz w:val="22"/>
          <w:szCs w:val="22"/>
          <w:lang w:eastAsia="zh-CN"/>
        </w:rPr>
      </w:pPr>
      <w:r>
        <w:rPr>
          <w:rFonts w:ascii="Times New Roman" w:hAnsi="Times New Roman"/>
          <w:b/>
          <w:bCs/>
          <w:i/>
          <w:iCs/>
          <w:sz w:val="22"/>
          <w:szCs w:val="22"/>
          <w:lang w:eastAsia="zh-CN"/>
        </w:rPr>
        <w:t xml:space="preserve">Single cell signal carrier, multiple cell including PCell </w:t>
      </w:r>
      <w:r>
        <w:rPr>
          <w:rFonts w:hint="eastAsia" w:ascii="Times New Roman" w:hAnsi="Times New Roman"/>
          <w:b/>
          <w:bCs/>
          <w:i/>
          <w:iCs/>
          <w:sz w:val="22"/>
          <w:szCs w:val="22"/>
          <w:lang w:eastAsia="zh-CN"/>
        </w:rPr>
        <w:t>and</w:t>
      </w:r>
      <w:r>
        <w:rPr>
          <w:rFonts w:ascii="Times New Roman" w:hAnsi="Times New Roman"/>
          <w:b/>
          <w:bCs/>
          <w:i/>
          <w:iCs/>
          <w:sz w:val="22"/>
          <w:szCs w:val="22"/>
          <w:lang w:eastAsia="zh-CN"/>
        </w:rPr>
        <w:t xml:space="preserve"> </w:t>
      </w:r>
      <w:r>
        <w:rPr>
          <w:rFonts w:hint="eastAsia" w:ascii="Times New Roman" w:hAnsi="Times New Roman"/>
          <w:b/>
          <w:bCs/>
          <w:i/>
          <w:iCs/>
          <w:sz w:val="22"/>
          <w:szCs w:val="22"/>
          <w:lang w:eastAsia="zh-CN"/>
        </w:rPr>
        <w:t>SCell,</w:t>
      </w:r>
      <w:r>
        <w:rPr>
          <w:rFonts w:ascii="Times New Roman" w:hAnsi="Times New Roman"/>
          <w:b/>
          <w:bCs/>
          <w:i/>
          <w:iCs/>
          <w:sz w:val="22"/>
          <w:szCs w:val="22"/>
          <w:lang w:eastAsia="zh-CN"/>
        </w:rPr>
        <w:t xml:space="preserve"> and Single cell multiple carrier</w:t>
      </w:r>
    </w:p>
    <w:p w14:paraId="467CC876">
      <w:pPr>
        <w:pStyle w:val="51"/>
        <w:numPr>
          <w:ilvl w:val="0"/>
          <w:numId w:val="25"/>
        </w:numPr>
        <w:rPr>
          <w:rFonts w:ascii="Times New Roman" w:hAnsi="Times New Roman"/>
          <w:b/>
          <w:bCs/>
          <w:i/>
          <w:iCs/>
          <w:sz w:val="22"/>
          <w:szCs w:val="22"/>
          <w:lang w:eastAsia="zh-CN"/>
        </w:rPr>
      </w:pPr>
      <w:r>
        <w:rPr>
          <w:rFonts w:hint="eastAsia" w:ascii="Times New Roman" w:hAnsi="Times New Roman"/>
          <w:b/>
          <w:bCs/>
          <w:i/>
          <w:iCs/>
          <w:sz w:val="22"/>
          <w:szCs w:val="22"/>
          <w:lang w:eastAsia="zh-CN"/>
        </w:rPr>
        <w:t>SSB</w:t>
      </w:r>
      <w:r>
        <w:rPr>
          <w:rFonts w:ascii="Times New Roman" w:hAnsi="Times New Roman"/>
          <w:b/>
          <w:bCs/>
          <w:i/>
          <w:iCs/>
          <w:sz w:val="22"/>
          <w:szCs w:val="22"/>
          <w:lang w:eastAsia="zh-CN"/>
        </w:rPr>
        <w:t xml:space="preserve"> </w:t>
      </w:r>
      <w:r>
        <w:rPr>
          <w:rFonts w:hint="eastAsia" w:ascii="Times New Roman" w:hAnsi="Times New Roman"/>
          <w:b/>
          <w:bCs/>
          <w:i/>
          <w:iCs/>
          <w:sz w:val="22"/>
          <w:szCs w:val="22"/>
          <w:lang w:eastAsia="zh-CN"/>
        </w:rPr>
        <w:t>structure</w:t>
      </w:r>
      <w:r>
        <w:rPr>
          <w:rFonts w:hint="default" w:ascii="Times New Roman" w:hAnsi="Times New Roman"/>
          <w:b/>
          <w:bCs/>
          <w:i/>
          <w:iCs/>
          <w:sz w:val="22"/>
          <w:szCs w:val="22"/>
          <w:lang w:val="en-US" w:eastAsia="zh-CN"/>
        </w:rPr>
        <w:t>(s)</w:t>
      </w:r>
    </w:p>
    <w:p w14:paraId="0C738FCF">
      <w:pPr>
        <w:ind w:left="864" w:hanging="864"/>
        <w:rPr>
          <w:lang w:eastAsia="zh-CN"/>
        </w:rPr>
      </w:pPr>
    </w:p>
    <w:p w14:paraId="4966992A">
      <w:pPr>
        <w:outlineLvl w:val="4"/>
        <w:rPr>
          <w:b/>
          <w:bCs/>
          <w:lang w:eastAsia="zh-CN"/>
        </w:rPr>
      </w:pPr>
      <w:r>
        <w:rPr>
          <w:b/>
          <w:bCs/>
          <w:lang w:eastAsia="zh-CN"/>
        </w:rPr>
        <w:t xml:space="preserve">5.1.1.1.2 </w:t>
      </w:r>
      <w:r>
        <w:rPr>
          <w:rFonts w:hint="eastAsia"/>
          <w:b/>
          <w:bCs/>
          <w:lang w:eastAsia="zh-CN"/>
        </w:rPr>
        <w:t>PRACH</w:t>
      </w:r>
    </w:p>
    <w:p w14:paraId="4B433313">
      <w:pPr>
        <w:ind w:left="0" w:firstLine="0"/>
        <w:rPr>
          <w:rFonts w:hint="default"/>
          <w:lang w:val="en-US"/>
        </w:rPr>
      </w:pPr>
      <w:r>
        <w:rPr>
          <w:rFonts w:hint="default"/>
          <w:lang w:val="en-US"/>
        </w:rPr>
        <w:t xml:space="preserve">Assuming PRACH is transmitted periodically by NW in one cell. As load or device capability changing, then the requirement of energy efficiency may be able to meet through considering adaptation of PRACH configuration like Rel-19 NES topic. New requirements based on basic capability or QoS may bring other on-demand transmission design. For example, one case with on-demand PRACH transmission is shown below figure. For each PRACH, it’ll not be transmitted if downlink signaling indicates periodicity changing or some of PRACH being absent for some reasons. In addition, for each preamble (group) during one PRACH resource, it wll also not be transmitted due to the requirement of QoS or device capability.   </w:t>
      </w:r>
    </w:p>
    <w:p w14:paraId="2D955019">
      <w:pPr>
        <w:ind w:left="864" w:hanging="864"/>
        <w:jc w:val="center"/>
        <w:rPr>
          <w:rFonts w:hint="eastAsia"/>
          <w:lang w:eastAsia="zh-CN"/>
        </w:rPr>
      </w:pPr>
      <w:r>
        <w:drawing>
          <wp:inline distT="0" distB="0" distL="114300" distR="114300">
            <wp:extent cx="5368290" cy="1101090"/>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0"/>
                    <a:stretch>
                      <a:fillRect/>
                    </a:stretch>
                  </pic:blipFill>
                  <pic:spPr>
                    <a:xfrm>
                      <a:off x="0" y="0"/>
                      <a:ext cx="5368290" cy="1101090"/>
                    </a:xfrm>
                    <a:prstGeom prst="rect">
                      <a:avLst/>
                    </a:prstGeom>
                  </pic:spPr>
                </pic:pic>
              </a:graphicData>
            </a:graphic>
          </wp:inline>
        </w:drawing>
      </w:r>
    </w:p>
    <w:p w14:paraId="126AB8A3">
      <w:pPr>
        <w:ind w:left="0" w:firstLine="0"/>
        <w:rPr>
          <w:rFonts w:hint="default"/>
          <w:lang w:val="en-US" w:eastAsia="zh-CN"/>
        </w:rPr>
      </w:pPr>
      <w:r>
        <w:rPr>
          <w:rFonts w:hint="default" w:ascii="Times New Roman Bold Italic" w:hAnsi="Times New Roman Bold Italic" w:cs="Times New Roman Bold Italic"/>
          <w:b/>
          <w:bCs/>
          <w:i/>
          <w:iCs/>
          <w:lang w:val="en-US" w:eastAsia="zh-CN"/>
        </w:rPr>
        <w:t xml:space="preserve">Observation </w:t>
      </w:r>
      <w:r>
        <w:rPr>
          <w:rFonts w:hint="eastAsia" w:ascii="Times New Roman Bold Italic" w:hAnsi="Times New Roman Bold Italic" w:cs="Times New Roman Bold Italic"/>
          <w:b/>
          <w:bCs/>
          <w:i/>
          <w:iCs/>
          <w:lang w:val="en-US" w:eastAsia="zh-CN"/>
        </w:rPr>
        <w:t>22</w:t>
      </w:r>
      <w:r>
        <w:rPr>
          <w:rFonts w:hint="default" w:ascii="Times New Roman Bold Italic" w:hAnsi="Times New Roman Bold Italic" w:cs="Times New Roman Bold Italic"/>
          <w:b/>
          <w:bCs/>
          <w:i/>
          <w:iCs/>
          <w:lang w:val="en-US" w:eastAsia="zh-CN"/>
        </w:rPr>
        <w:t>: PRACH adaptation or on-demand PRACH (preamble or preamble group) transmissions can meet some of requirements in 6GR like energy efficiency, QoS, various device types, etc.</w:t>
      </w:r>
    </w:p>
    <w:p w14:paraId="653829DA">
      <w:pPr>
        <w:ind w:left="0" w:firstLine="0"/>
        <w:rPr>
          <w:rFonts w:hint="eastAsia"/>
          <w:lang w:eastAsia="zh-CN"/>
        </w:rPr>
      </w:pPr>
      <w:r>
        <w:rPr>
          <w:rFonts w:hint="default" w:ascii="Times New Roman Bold Italic" w:hAnsi="Times New Roman Bold Italic" w:cs="Times New Roman Bold Italic"/>
          <w:b/>
          <w:bCs/>
          <w:i/>
          <w:iCs/>
          <w:lang w:val="en-US" w:eastAsia="zh-CN"/>
        </w:rPr>
        <w:t xml:space="preserve">Proposal </w:t>
      </w:r>
      <w:r>
        <w:rPr>
          <w:rFonts w:hint="eastAsia" w:ascii="Times New Roman Bold Italic" w:hAnsi="Times New Roman Bold Italic" w:cs="Times New Roman Bold Italic"/>
          <w:b/>
          <w:bCs/>
          <w:i/>
          <w:iCs/>
          <w:lang w:val="en-US" w:eastAsia="zh-CN"/>
        </w:rPr>
        <w:t>20</w:t>
      </w:r>
      <w:r>
        <w:rPr>
          <w:rFonts w:hint="default" w:ascii="Times New Roman Bold Italic" w:hAnsi="Times New Roman Bold Italic" w:cs="Times New Roman Bold Italic"/>
          <w:b/>
          <w:bCs/>
          <w:i/>
          <w:iCs/>
          <w:lang w:val="en-US" w:eastAsia="zh-CN"/>
        </w:rPr>
        <w:t xml:space="preserve">: Consider and study PRACH adaptation or on-demand PRACH transmission or on-demand preamble (group) transmission in 6G day-1. </w:t>
      </w:r>
    </w:p>
    <w:p w14:paraId="02BEDEB5">
      <w:pPr>
        <w:ind w:left="864" w:hanging="864"/>
        <w:rPr>
          <w:rFonts w:hint="eastAsia"/>
          <w:lang w:eastAsia="zh-CN"/>
        </w:rPr>
      </w:pPr>
    </w:p>
    <w:p w14:paraId="0D1FDF06">
      <w:pPr>
        <w:outlineLvl w:val="4"/>
        <w:rPr>
          <w:rFonts w:hint="eastAsia"/>
          <w:b/>
          <w:bCs/>
          <w:lang w:eastAsia="zh-CN"/>
        </w:rPr>
      </w:pPr>
      <w:r>
        <w:rPr>
          <w:b/>
          <w:bCs/>
          <w:lang w:eastAsia="zh-CN"/>
        </w:rPr>
        <w:t xml:space="preserve">5.1.1.1.3 </w:t>
      </w:r>
      <w:r>
        <w:rPr>
          <w:rFonts w:hint="eastAsia"/>
          <w:b/>
          <w:bCs/>
          <w:lang w:eastAsia="zh-CN"/>
        </w:rPr>
        <w:t>Paging</w:t>
      </w:r>
    </w:p>
    <w:p w14:paraId="78438E86">
      <w:pPr>
        <w:rPr>
          <w:lang w:eastAsia="zh-CN"/>
        </w:rPr>
      </w:pPr>
      <w:r>
        <w:rPr>
          <w:lang w:eastAsia="zh-CN"/>
        </w:rPr>
        <w:t xml:space="preserve">For paging </w:t>
      </w:r>
      <w:bookmarkStart w:id="18" w:name="_Hlk213253341"/>
      <w:r>
        <w:rPr>
          <w:lang w:eastAsia="zh-CN"/>
        </w:rPr>
        <w:t>mechanism</w:t>
      </w:r>
      <w:bookmarkEnd w:id="18"/>
      <w:r>
        <w:rPr>
          <w:lang w:eastAsia="zh-CN"/>
        </w:rPr>
        <w:t xml:space="preserve">, multiple UEs can be paged simultaneously on the same PO. At the same time, each paging message can contain multiple paging records of UEs. However, a traditional paging message can only accommodate a maximum of 32 paging records. When there are many paged UEs or the paged UEs are not in the same group, the network needs to repeatedly send multiple Paging PDCCHs on different POs to cover all the UEs to be paged. However, the existing grouping mechanism is not a logical grouping but rather a random grouping method. This mechanism is simple and reliable, but when facing a large number of UEs or batch services, the efficiency of this grouping mechanism will be greatly reduced. Hence, a more efficient method is to consolidate the PO of different UEs into a shorter time window, thereby leaving a longer gap without paging for the base station to enter a longer sleep time. In view of the potential typical application scenarios of 6G, from the perspectives of signaling overhead and power consumption, on-demand paging needs to be considered including flexible </w:t>
      </w:r>
      <w:r>
        <w:t xml:space="preserve">clustering POs. For example, when the load is high, distribute the POs to avoid collisions, while when the load is low, concentrate the POs to extend the sleep window. Another </w:t>
      </w:r>
      <w:r>
        <w:rPr>
          <w:lang w:eastAsia="zh-CN"/>
        </w:rPr>
        <w:t>method is to design paging occasions near SSBs to reduce the frequency of wake-up for both network and UEs. This method should be considered with on-demand sync mechanisms together.</w:t>
      </w:r>
      <w:r>
        <w:rPr>
          <w:rFonts w:hint="default"/>
          <w:lang w:val="en-US" w:eastAsia="zh-CN"/>
        </w:rPr>
        <w:t xml:space="preserve"> If clustered PO(s) of one group with different being trasmitted for waking up or paging but some of UE in this group do not need to wake up, extra paging is needed to inform these UE do not need to wake up. Thus two-stages paging mechanism is needed in that cases.   </w:t>
      </w:r>
    </w:p>
    <w:p w14:paraId="21AF3ACE">
      <w:pPr>
        <w:rPr>
          <w:rFonts w:ascii="Times" w:hAnsi="Times" w:eastAsia="等线" w:cs="Arial"/>
          <w:b/>
          <w:bCs/>
          <w:i/>
          <w:iCs/>
          <w:szCs w:val="24"/>
          <w:lang w:eastAsia="zh-CN"/>
        </w:rPr>
      </w:pPr>
      <w:r>
        <w:rPr>
          <w:rFonts w:hint="eastAsia"/>
          <w:b/>
          <w:bCs/>
          <w:i/>
          <w:iCs/>
          <w:lang w:eastAsia="zh-CN"/>
        </w:rPr>
        <w:t>P</w:t>
      </w:r>
      <w:r>
        <w:rPr>
          <w:b/>
          <w:bCs/>
          <w:i/>
          <w:iCs/>
          <w:lang w:eastAsia="zh-CN"/>
        </w:rPr>
        <w:t xml:space="preserve">roposal </w:t>
      </w:r>
      <w:r>
        <w:rPr>
          <w:rFonts w:hint="eastAsia"/>
          <w:b/>
          <w:bCs/>
          <w:i/>
          <w:iCs/>
          <w:lang w:val="en-US" w:eastAsia="zh-CN"/>
        </w:rPr>
        <w:t>21</w:t>
      </w:r>
      <w:r>
        <w:rPr>
          <w:b/>
          <w:bCs/>
          <w:i/>
          <w:iCs/>
          <w:lang w:eastAsia="zh-CN"/>
        </w:rPr>
        <w:t xml:space="preserve">: Further study </w:t>
      </w:r>
      <w:r>
        <w:rPr>
          <w:rFonts w:ascii="Times" w:hAnsi="Times" w:eastAsia="等线" w:cs="Arial"/>
          <w:b/>
          <w:bCs/>
          <w:i/>
          <w:iCs/>
          <w:szCs w:val="24"/>
          <w:lang w:eastAsia="zh-CN"/>
        </w:rPr>
        <w:t xml:space="preserve">on-demand paging including </w:t>
      </w:r>
      <w:r>
        <w:rPr>
          <w:b/>
          <w:bCs/>
          <w:i/>
          <w:iCs/>
          <w:lang w:eastAsia="zh-CN"/>
        </w:rPr>
        <w:t xml:space="preserve">flexible </w:t>
      </w:r>
      <w:r>
        <w:rPr>
          <w:b/>
          <w:bCs/>
          <w:i/>
          <w:iCs/>
        </w:rPr>
        <w:t xml:space="preserve">clustering POs, </w:t>
      </w:r>
      <w:r>
        <w:rPr>
          <w:b/>
          <w:bCs/>
          <w:i/>
          <w:iCs/>
          <w:lang w:eastAsia="zh-CN"/>
        </w:rPr>
        <w:t>designing paging occasions near SSBs and two-</w:t>
      </w:r>
      <w:r>
        <w:rPr>
          <w:rFonts w:hint="default"/>
          <w:b/>
          <w:bCs/>
          <w:i/>
          <w:iCs/>
          <w:lang w:val="en-US" w:eastAsia="zh-CN"/>
        </w:rPr>
        <w:t>stages</w:t>
      </w:r>
      <w:r>
        <w:rPr>
          <w:b/>
          <w:bCs/>
          <w:i/>
          <w:iCs/>
          <w:lang w:eastAsia="zh-CN"/>
        </w:rPr>
        <w:t xml:space="preserve"> paging mechanism.</w:t>
      </w:r>
    </w:p>
    <w:p w14:paraId="0F330FCC">
      <w:pPr>
        <w:rPr>
          <w:rFonts w:hint="eastAsia"/>
          <w:lang w:eastAsia="zh-CN"/>
        </w:rPr>
      </w:pPr>
    </w:p>
    <w:p w14:paraId="6964AC80">
      <w:pPr>
        <w:outlineLvl w:val="3"/>
        <w:rPr>
          <w:rFonts w:hint="eastAsia"/>
          <w:b/>
          <w:bCs/>
          <w:lang w:eastAsia="zh-CN"/>
        </w:rPr>
      </w:pPr>
      <w:r>
        <w:rPr>
          <w:rFonts w:hint="eastAsia"/>
          <w:b/>
          <w:bCs/>
          <w:lang w:eastAsia="zh-CN"/>
        </w:rPr>
        <w:t>5.1.1.</w:t>
      </w:r>
      <w:r>
        <w:rPr>
          <w:b/>
          <w:bCs/>
          <w:lang w:eastAsia="zh-CN"/>
        </w:rPr>
        <w:t>2</w:t>
      </w:r>
      <w:r>
        <w:rPr>
          <w:rFonts w:hint="eastAsia"/>
          <w:b/>
          <w:bCs/>
          <w:lang w:eastAsia="zh-CN"/>
        </w:rPr>
        <w:t xml:space="preserve"> </w:t>
      </w:r>
      <w:r>
        <w:rPr>
          <w:b/>
          <w:bCs/>
          <w:lang w:eastAsia="zh-CN"/>
        </w:rPr>
        <w:t>Cell DTX/DRX</w:t>
      </w:r>
    </w:p>
    <w:p w14:paraId="563AA2E9">
      <w:pPr>
        <w:rPr>
          <w:lang w:eastAsia="zh-CN"/>
        </w:rPr>
      </w:pPr>
      <w:r>
        <w:rPr>
          <w:lang w:eastAsia="zh-CN"/>
        </w:rPr>
        <w:t>A 6G base station will utilize discontinuous transmission techniques extensively.</w:t>
      </w:r>
      <w:r>
        <w:rPr>
          <w:rFonts w:hint="eastAsia"/>
          <w:lang w:eastAsia="zh-CN"/>
        </w:rPr>
        <w:t xml:space="preserve"> </w:t>
      </w:r>
      <w:r>
        <w:rPr>
          <w:lang w:eastAsia="zh-CN"/>
        </w:rPr>
        <w:t>This means in the absence of active data or required signaling, the network can shut off its transmit chain or reduce its activity.</w:t>
      </w:r>
      <w:r>
        <w:rPr>
          <w:rFonts w:hint="eastAsia"/>
          <w:lang w:eastAsia="zh-CN"/>
        </w:rPr>
        <w:t xml:space="preserve"> </w:t>
      </w:r>
      <w:r>
        <w:rPr>
          <w:lang w:eastAsia="zh-CN"/>
        </w:rPr>
        <w:t xml:space="preserve">For example, if no UEs need downlink data at a moment and all required control signaling has been handled, the network can enter a micro-sleep </w:t>
      </w:r>
      <w:r>
        <w:rPr>
          <w:rFonts w:hint="eastAsia"/>
          <w:lang w:eastAsia="zh-CN"/>
        </w:rPr>
        <w:t>and stop</w:t>
      </w:r>
      <w:r>
        <w:rPr>
          <w:lang w:eastAsia="zh-CN"/>
        </w:rPr>
        <w:t xml:space="preserve"> all transmissions.</w:t>
      </w:r>
      <w:r>
        <w:rPr>
          <w:rFonts w:hint="eastAsia"/>
          <w:lang w:eastAsia="zh-CN"/>
        </w:rPr>
        <w:t xml:space="preserve"> </w:t>
      </w:r>
      <w:r>
        <w:rPr>
          <w:lang w:eastAsia="zh-CN"/>
        </w:rPr>
        <w:t>S</w:t>
      </w:r>
      <w:r>
        <w:rPr>
          <w:rFonts w:hint="eastAsia"/>
          <w:lang w:eastAsia="zh-CN"/>
        </w:rPr>
        <w:t xml:space="preserve">uch </w:t>
      </w:r>
      <w:r>
        <w:rPr>
          <w:lang w:eastAsia="zh-CN"/>
        </w:rPr>
        <w:t>discontinuous transmission techniques</w:t>
      </w:r>
      <w:r>
        <w:rPr>
          <w:rFonts w:hint="eastAsia"/>
          <w:lang w:eastAsia="zh-CN"/>
        </w:rPr>
        <w:t xml:space="preserve"> will </w:t>
      </w:r>
      <w:r>
        <w:rPr>
          <w:lang w:eastAsia="zh-CN"/>
        </w:rPr>
        <w:t>coordinate</w:t>
      </w:r>
      <w:r>
        <w:rPr>
          <w:rFonts w:hint="eastAsia"/>
          <w:lang w:eastAsia="zh-CN"/>
        </w:rPr>
        <w:t xml:space="preserve"> </w:t>
      </w:r>
      <w:r>
        <w:rPr>
          <w:lang w:eastAsia="zh-CN"/>
        </w:rPr>
        <w:t>with</w:t>
      </w:r>
      <w:r>
        <w:rPr>
          <w:rFonts w:hint="eastAsia"/>
          <w:lang w:eastAsia="zh-CN"/>
        </w:rPr>
        <w:t xml:space="preserve"> both on demand </w:t>
      </w:r>
      <w:r>
        <w:rPr>
          <w:lang w:eastAsia="zh-CN"/>
        </w:rPr>
        <w:t>UE-specific signals</w:t>
      </w:r>
      <w:r>
        <w:rPr>
          <w:rFonts w:hint="eastAsia"/>
          <w:lang w:eastAsia="zh-CN"/>
        </w:rPr>
        <w:t xml:space="preserve"> and on demand common signals.</w:t>
      </w:r>
    </w:p>
    <w:p w14:paraId="22889A84">
      <w:pPr>
        <w:rPr>
          <w:lang w:eastAsia="zh-CN"/>
        </w:rPr>
      </w:pPr>
      <w:r>
        <w:rPr>
          <w:lang w:eastAsia="zh-CN"/>
        </w:rPr>
        <w:t>In current 5G, Cell DTX and UE DRX are configured independently, it is difficult to align the active time of different mechanism, especially facing massive UEs or bulk services. To minimize both the network’s and UE’s energy wasting and minimize the latency of data transmission, more efficient and flexible Cell DTX/DRX joint with UE DRX mechanism should be studied.</w:t>
      </w:r>
    </w:p>
    <w:p w14:paraId="6D9C7392">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Proposal </w:t>
      </w:r>
      <w:r>
        <w:rPr>
          <w:rFonts w:hint="eastAsia" w:ascii="Times New Roman Bold Italic" w:hAnsi="Times New Roman Bold Italic" w:cs="Times New Roman Bold Italic"/>
          <w:b/>
          <w:bCs/>
          <w:i/>
          <w:iCs/>
          <w:lang w:val="en-US" w:eastAsia="zh-CN"/>
        </w:rPr>
        <w:t>22</w:t>
      </w:r>
      <w:r>
        <w:rPr>
          <w:rFonts w:ascii="Times New Roman Bold Italic" w:hAnsi="Times New Roman Bold Italic" w:cs="Times New Roman Bold Italic"/>
          <w:b/>
          <w:bCs/>
          <w:i/>
          <w:iCs/>
          <w:lang w:eastAsia="zh-CN"/>
        </w:rPr>
        <w:t xml:space="preserve">: </w:t>
      </w:r>
      <w:r>
        <w:rPr>
          <w:rFonts w:ascii="Times New Roman Bold Italic" w:hAnsi="Times New Roman Bold Italic" w:cs="Times New Roman Bold Italic"/>
          <w:b/>
          <w:bCs/>
          <w:i/>
          <w:iCs/>
          <w:lang w:val="en-GB"/>
        </w:rPr>
        <w:t>Study</w:t>
      </w:r>
      <w:r>
        <w:rPr>
          <w:rFonts w:ascii="Times New Roman Bold Italic" w:hAnsi="Times New Roman Bold Italic" w:cs="Times New Roman Bold Italic"/>
          <w:b/>
          <w:bCs/>
          <w:i/>
          <w:iCs/>
          <w:lang w:eastAsia="zh-CN"/>
        </w:rPr>
        <w:t xml:space="preserve"> more efficient and flexible Cell DTX/DRX mechanism considering joint with UE DRX mechanism, coordinate with both on demand UE-specific signals and on demand common signals</w:t>
      </w:r>
      <w:r>
        <w:rPr>
          <w:rFonts w:ascii="Times New Roman Bold Italic" w:hAnsi="Times New Roman Bold Italic" w:cs="Times New Roman Bold Italic"/>
          <w:b/>
          <w:bCs/>
          <w:i/>
          <w:iCs/>
          <w:lang w:val="en-GB"/>
        </w:rPr>
        <w:t>.</w:t>
      </w:r>
    </w:p>
    <w:p w14:paraId="2AA3549C">
      <w:pPr>
        <w:numPr>
          <w:ilvl w:val="0"/>
          <w:numId w:val="0"/>
        </w:numPr>
        <w:ind w:left="475" w:leftChars="0"/>
        <w:outlineLvl w:val="9"/>
        <w:rPr>
          <w:rFonts w:hint="default"/>
          <w:lang w:val="en-US" w:eastAsia="zh-CN"/>
        </w:rPr>
      </w:pPr>
    </w:p>
    <w:p w14:paraId="37961AE1">
      <w:pPr>
        <w:numPr>
          <w:ilvl w:val="0"/>
          <w:numId w:val="0"/>
        </w:numPr>
        <w:outlineLvl w:val="3"/>
        <w:rPr>
          <w:rFonts w:hint="default"/>
          <w:b/>
          <w:bCs/>
          <w:highlight w:val="none"/>
          <w:lang w:val="en-US" w:eastAsia="zh-CN"/>
        </w:rPr>
      </w:pPr>
      <w:r>
        <w:rPr>
          <w:rFonts w:hint="eastAsia"/>
          <w:b/>
          <w:bCs/>
          <w:highlight w:val="none"/>
          <w:lang w:val="en-US" w:eastAsia="zh-CN"/>
        </w:rPr>
        <w:t xml:space="preserve">5.1.1.3 </w:t>
      </w:r>
      <w:r>
        <w:rPr>
          <w:rFonts w:hint="default"/>
          <w:b/>
          <w:bCs/>
          <w:highlight w:val="none"/>
          <w:lang w:val="en-US" w:eastAsia="zh-CN"/>
        </w:rPr>
        <w:t xml:space="preserve">Clustered </w:t>
      </w:r>
      <w:r>
        <w:rPr>
          <w:rFonts w:hint="eastAsia"/>
          <w:b/>
          <w:bCs/>
          <w:highlight w:val="none"/>
          <w:lang w:val="en-US" w:eastAsia="zh-CN"/>
        </w:rPr>
        <w:t xml:space="preserve">transmission </w:t>
      </w:r>
    </w:p>
    <w:p w14:paraId="091D0261">
      <w:pPr>
        <w:rPr>
          <w:rFonts w:ascii="Times" w:hAnsi="Times" w:eastAsia="等线" w:cs="Arial"/>
          <w:szCs w:val="24"/>
          <w:lang w:eastAsia="zh-CN"/>
        </w:rPr>
      </w:pPr>
      <w:r>
        <w:rPr>
          <w:lang w:eastAsia="zh-CN"/>
        </w:rPr>
        <w:t>I</w:t>
      </w:r>
      <w:r>
        <w:rPr>
          <w:rFonts w:hint="eastAsia"/>
          <w:lang w:eastAsia="zh-CN"/>
        </w:rPr>
        <w:t>n</w:t>
      </w:r>
      <w:r>
        <w:rPr>
          <w:lang w:eastAsia="zh-CN"/>
        </w:rPr>
        <w:t xml:space="preserve"> </w:t>
      </w:r>
      <w:r>
        <w:rPr>
          <w:rFonts w:hint="eastAsia"/>
          <w:lang w:eastAsia="zh-CN"/>
        </w:rPr>
        <w:t>l</w:t>
      </w:r>
      <w:r>
        <w:rPr>
          <w:lang w:eastAsia="zh-CN"/>
        </w:rPr>
        <w:t xml:space="preserve">ast meeting, </w:t>
      </w:r>
      <w:r>
        <w:rPr>
          <w:rFonts w:hint="eastAsia"/>
          <w:lang w:val="en-US" w:eastAsia="zh-CN"/>
        </w:rPr>
        <w:t xml:space="preserve">clustered </w:t>
      </w:r>
      <w:r>
        <w:rPr>
          <w:rFonts w:hint="default"/>
          <w:lang w:val="en-US" w:eastAsia="zh-CN"/>
        </w:rPr>
        <w:t>provisioning or unclustered provisioning</w:t>
      </w:r>
      <w:r>
        <w:rPr>
          <w:rFonts w:ascii="Times" w:hAnsi="Times" w:eastAsia="等线" w:cs="Arial"/>
          <w:szCs w:val="24"/>
          <w:lang w:eastAsia="zh-CN"/>
        </w:rPr>
        <w:t xml:space="preserve"> mechanisms were discussed and the following agreement was achieved.</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191C231F">
        <w:tc>
          <w:tcPr>
            <w:tcW w:w="9307" w:type="dxa"/>
          </w:tcPr>
          <w:p w14:paraId="512106B7">
            <w:pPr>
              <w:widowControl w:val="0"/>
              <w:rPr>
                <w:rFonts w:ascii="Times New Roman" w:hAnsi="Times New Roman" w:eastAsiaTheme="minorEastAsia"/>
                <w:highlight w:val="green"/>
                <w:lang w:eastAsia="zh-CN"/>
              </w:rPr>
            </w:pPr>
            <w:r>
              <w:rPr>
                <w:rFonts w:hint="eastAsia" w:ascii="Times New Roman" w:hAnsi="Times New Roman" w:eastAsiaTheme="minorEastAsia"/>
                <w:highlight w:val="green"/>
                <w:lang w:eastAsia="zh-CN"/>
              </w:rPr>
              <w:t>Agreement</w:t>
            </w:r>
          </w:p>
          <w:p w14:paraId="5FA98802">
            <w:pPr>
              <w:widowControl w:val="0"/>
              <w:spacing w:line="256" w:lineRule="auto"/>
              <w:rPr>
                <w:rFonts w:eastAsia="Calibri" w:cs="Arial"/>
                <w:sz w:val="22"/>
                <w:szCs w:val="22"/>
                <w:lang w:val="en-US"/>
              </w:rPr>
            </w:pPr>
            <w:r>
              <w:rPr>
                <w:rFonts w:eastAsia="Calibri" w:cs="Arial"/>
                <w:sz w:val="22"/>
                <w:szCs w:val="22"/>
              </w:rPr>
              <w:t>Study and evaluate</w:t>
            </w:r>
            <w:r>
              <w:rPr>
                <w:rFonts w:eastAsia="Calibri" w:cs="Arial"/>
                <w:color w:val="FF0000"/>
                <w:sz w:val="22"/>
                <w:szCs w:val="22"/>
              </w:rPr>
              <w:t xml:space="preserve"> </w:t>
            </w:r>
            <w:r>
              <w:rPr>
                <w:rFonts w:eastAsia="Calibri" w:cs="Arial"/>
                <w:sz w:val="22"/>
                <w:szCs w:val="22"/>
              </w:rPr>
              <w:t xml:space="preserve">NW energy savings </w:t>
            </w:r>
            <w:r>
              <w:rPr>
                <w:rFonts w:hint="eastAsia" w:cs="Arial" w:eastAsiaTheme="minorEastAsia"/>
                <w:sz w:val="22"/>
                <w:szCs w:val="22"/>
                <w:lang w:eastAsia="zh-CN"/>
              </w:rPr>
              <w:t xml:space="preserve">and the impact on </w:t>
            </w:r>
            <w:r>
              <w:rPr>
                <w:rFonts w:eastAsia="Calibri" w:cs="Arial"/>
                <w:sz w:val="22"/>
                <w:szCs w:val="22"/>
              </w:rPr>
              <w:t xml:space="preserve">UE performance and user experience </w:t>
            </w:r>
            <w:r>
              <w:rPr>
                <w:rFonts w:hint="eastAsia" w:cs="Arial" w:eastAsiaTheme="minorEastAsia"/>
                <w:sz w:val="22"/>
                <w:szCs w:val="22"/>
                <w:lang w:eastAsia="zh-CN"/>
              </w:rPr>
              <w:t>with</w:t>
            </w:r>
            <w:r>
              <w:rPr>
                <w:rFonts w:eastAsia="Calibri" w:cs="Arial"/>
                <w:sz w:val="22"/>
                <w:szCs w:val="22"/>
              </w:rPr>
              <w:t xml:space="preserve"> </w:t>
            </w:r>
            <w:r>
              <w:rPr>
                <w:rFonts w:hint="eastAsia" w:cs="Arial" w:eastAsiaTheme="minorEastAsia"/>
                <w:sz w:val="22"/>
                <w:szCs w:val="22"/>
                <w:lang w:eastAsia="zh-CN"/>
              </w:rPr>
              <w:t>respect to</w:t>
            </w:r>
            <w:r>
              <w:rPr>
                <w:rFonts w:eastAsia="Calibri" w:cs="Arial"/>
                <w:sz w:val="22"/>
                <w:szCs w:val="22"/>
              </w:rPr>
              <w:t xml:space="preserve"> </w:t>
            </w:r>
            <w:r>
              <w:rPr>
                <w:rFonts w:hint="eastAsia" w:cs="Arial" w:eastAsiaTheme="minorEastAsia"/>
                <w:sz w:val="22"/>
                <w:szCs w:val="22"/>
                <w:lang w:eastAsia="zh-CN"/>
              </w:rPr>
              <w:t xml:space="preserve">20ms and longer </w:t>
            </w:r>
            <w:r>
              <w:rPr>
                <w:rFonts w:eastAsia="Calibri" w:cs="Arial"/>
                <w:sz w:val="22"/>
                <w:szCs w:val="22"/>
              </w:rPr>
              <w:t>periodicit</w:t>
            </w:r>
            <w:r>
              <w:rPr>
                <w:rFonts w:hint="eastAsia" w:cs="Arial" w:eastAsiaTheme="minorEastAsia"/>
                <w:sz w:val="22"/>
                <w:szCs w:val="22"/>
                <w:lang w:eastAsia="zh-CN"/>
              </w:rPr>
              <w:t>ies</w:t>
            </w:r>
            <w:r>
              <w:rPr>
                <w:rFonts w:eastAsia="Calibri" w:cs="Arial"/>
                <w:sz w:val="22"/>
                <w:szCs w:val="22"/>
              </w:rPr>
              <w:t xml:space="preserve"> of sync signal(s)</w:t>
            </w:r>
            <w:r>
              <w:rPr>
                <w:rFonts w:hint="eastAsia" w:cs="Arial" w:eastAsiaTheme="minorEastAsia"/>
                <w:sz w:val="22"/>
                <w:szCs w:val="22"/>
                <w:lang w:eastAsia="zh-CN"/>
              </w:rPr>
              <w:t xml:space="preserve"> at least</w:t>
            </w:r>
            <w:r>
              <w:rPr>
                <w:rFonts w:eastAsia="Calibri" w:cs="Arial"/>
                <w:sz w:val="22"/>
                <w:szCs w:val="22"/>
              </w:rPr>
              <w:t xml:space="preserve"> for initial access</w:t>
            </w:r>
            <w:r>
              <w:rPr>
                <w:rFonts w:hint="eastAsia" w:cs="Arial" w:eastAsiaTheme="minorEastAsia"/>
                <w:sz w:val="22"/>
                <w:szCs w:val="22"/>
                <w:lang w:eastAsia="zh-CN"/>
              </w:rPr>
              <w:t xml:space="preserve"> with the following consideration, but not limited to</w:t>
            </w:r>
            <w:r>
              <w:rPr>
                <w:rFonts w:eastAsia="Calibri" w:cs="Arial"/>
                <w:sz w:val="22"/>
                <w:szCs w:val="22"/>
                <w:lang w:val="en-US"/>
              </w:rPr>
              <w:t>:</w:t>
            </w:r>
          </w:p>
          <w:p w14:paraId="2C8B68A6">
            <w:pPr>
              <w:widowControl w:val="0"/>
              <w:tabs>
                <w:tab w:val="left" w:pos="0"/>
              </w:tabs>
              <w:spacing w:line="256" w:lineRule="auto"/>
              <w:rPr>
                <w:rFonts w:eastAsia="Calibri" w:cs="Arial"/>
                <w:sz w:val="22"/>
                <w:szCs w:val="22"/>
                <w:lang w:val="en-US" w:eastAsia="zh-CN"/>
              </w:rPr>
            </w:pPr>
            <w:r>
              <w:rPr>
                <w:rFonts w:eastAsia="Calibri" w:cs="Arial"/>
                <w:sz w:val="22"/>
                <w:szCs w:val="22"/>
                <w:lang w:val="en-US" w:eastAsia="zh-CN"/>
              </w:rPr>
              <w:t>BS assumptions:</w:t>
            </w:r>
          </w:p>
          <w:p w14:paraId="7B3A6CDC">
            <w:pPr>
              <w:widowControl w:val="0"/>
              <w:numPr>
                <w:ilvl w:val="0"/>
                <w:numId w:val="26"/>
              </w:numPr>
              <w:suppressAutoHyphens/>
              <w:spacing w:line="256" w:lineRule="auto"/>
              <w:jc w:val="both"/>
              <w:rPr>
                <w:rFonts w:eastAsia="Calibri" w:cs="Arial"/>
                <w:sz w:val="22"/>
                <w:szCs w:val="22"/>
                <w:lang w:val="en-US" w:eastAsia="zh-CN"/>
              </w:rPr>
            </w:pPr>
            <w:r>
              <w:rPr>
                <w:rFonts w:eastAsia="Calibri" w:cs="Arial"/>
                <w:sz w:val="22"/>
                <w:szCs w:val="22"/>
                <w:lang w:val="en-US" w:eastAsia="zh-CN"/>
              </w:rPr>
              <w:t>Cell-common signaling (e.g., sync signal(s),</w:t>
            </w:r>
            <w:r>
              <w:rPr>
                <w:rFonts w:hint="eastAsia" w:cs="Arial" w:eastAsiaTheme="minorEastAsia"/>
                <w:sz w:val="22"/>
                <w:szCs w:val="22"/>
                <w:lang w:val="en-US" w:eastAsia="zh-CN"/>
              </w:rPr>
              <w:t xml:space="preserve"> broadcast PDCCH,</w:t>
            </w:r>
            <w:r>
              <w:rPr>
                <w:rFonts w:eastAsia="Calibri" w:cs="Arial"/>
                <w:sz w:val="22"/>
                <w:szCs w:val="22"/>
                <w:lang w:val="en-US" w:eastAsia="zh-CN"/>
              </w:rPr>
              <w:t xml:space="preserve"> SIB-1, SIB, paging, PRACH), e.g.,</w:t>
            </w:r>
          </w:p>
          <w:p w14:paraId="0B6F3BD8">
            <w:pPr>
              <w:widowControl w:val="0"/>
              <w:numPr>
                <w:ilvl w:val="1"/>
                <w:numId w:val="26"/>
              </w:numPr>
              <w:suppressAutoHyphens/>
              <w:spacing w:line="256" w:lineRule="auto"/>
              <w:jc w:val="both"/>
              <w:rPr>
                <w:rFonts w:eastAsia="Calibri" w:cs="Arial"/>
                <w:sz w:val="22"/>
                <w:szCs w:val="22"/>
                <w:lang w:val="en-US" w:eastAsia="zh-CN"/>
              </w:rPr>
            </w:pPr>
            <w:r>
              <w:rPr>
                <w:rFonts w:eastAsia="Calibri" w:cs="Arial"/>
                <w:sz w:val="22"/>
                <w:szCs w:val="22"/>
                <w:lang w:val="en-US" w:eastAsia="zh-CN"/>
              </w:rPr>
              <w:t>Clustered provisioning of different cell-common signaling,</w:t>
            </w:r>
          </w:p>
          <w:p w14:paraId="45579420">
            <w:pPr>
              <w:widowControl w:val="0"/>
              <w:numPr>
                <w:ilvl w:val="1"/>
                <w:numId w:val="26"/>
              </w:numPr>
              <w:suppressAutoHyphens/>
              <w:spacing w:line="256" w:lineRule="auto"/>
              <w:jc w:val="both"/>
              <w:rPr>
                <w:rFonts w:eastAsia="Calibri" w:cs="Arial"/>
                <w:sz w:val="22"/>
                <w:szCs w:val="22"/>
                <w:lang w:val="en-US" w:eastAsia="zh-CN"/>
              </w:rPr>
            </w:pPr>
            <w:r>
              <w:rPr>
                <w:rFonts w:eastAsia="Calibri" w:cs="Arial"/>
                <w:sz w:val="22"/>
                <w:szCs w:val="22"/>
                <w:lang w:val="en-US" w:eastAsia="zh-CN"/>
              </w:rPr>
              <w:t>On-demand provisioning of different cell-common signaling,</w:t>
            </w:r>
          </w:p>
          <w:p w14:paraId="4BDA747A">
            <w:pPr>
              <w:widowControl w:val="0"/>
              <w:numPr>
                <w:ilvl w:val="0"/>
                <w:numId w:val="26"/>
              </w:numPr>
              <w:suppressAutoHyphens/>
              <w:spacing w:line="256" w:lineRule="auto"/>
              <w:jc w:val="both"/>
              <w:rPr>
                <w:rFonts w:eastAsia="Calibri" w:cs="Arial"/>
                <w:sz w:val="22"/>
                <w:szCs w:val="22"/>
                <w:lang w:val="en-US" w:eastAsia="zh-CN"/>
              </w:rPr>
            </w:pPr>
            <w:r>
              <w:rPr>
                <w:rFonts w:eastAsia="Calibri" w:cs="Arial"/>
                <w:sz w:val="22"/>
                <w:szCs w:val="22"/>
                <w:lang w:val="en-US" w:eastAsia="zh-CN"/>
              </w:rPr>
              <w:t>UE-specific signaling (for low, light, medium loads), e.g.,</w:t>
            </w:r>
          </w:p>
          <w:p w14:paraId="16B358E5">
            <w:pPr>
              <w:widowControl w:val="0"/>
              <w:numPr>
                <w:ilvl w:val="1"/>
                <w:numId w:val="26"/>
              </w:numPr>
              <w:suppressAutoHyphens/>
              <w:spacing w:line="256" w:lineRule="auto"/>
              <w:jc w:val="both"/>
              <w:rPr>
                <w:rFonts w:eastAsia="Calibri" w:cs="Arial"/>
                <w:sz w:val="22"/>
                <w:szCs w:val="22"/>
                <w:lang w:val="en-US" w:eastAsia="zh-CN"/>
              </w:rPr>
            </w:pPr>
            <w:r>
              <w:rPr>
                <w:rFonts w:eastAsia="Calibri" w:cs="Arial"/>
                <w:sz w:val="22"/>
                <w:szCs w:val="22"/>
                <w:lang w:val="en-US" w:eastAsia="zh-CN"/>
              </w:rPr>
              <w:t>Clustered provisioning with cell-common signaling,</w:t>
            </w:r>
          </w:p>
          <w:p w14:paraId="7966043B">
            <w:pPr>
              <w:widowControl w:val="0"/>
              <w:numPr>
                <w:ilvl w:val="1"/>
                <w:numId w:val="26"/>
              </w:numPr>
              <w:suppressAutoHyphens/>
              <w:spacing w:line="256" w:lineRule="auto"/>
              <w:jc w:val="both"/>
              <w:rPr>
                <w:rFonts w:eastAsia="Calibri" w:cs="Arial"/>
                <w:sz w:val="22"/>
                <w:szCs w:val="22"/>
                <w:lang w:val="en-US" w:eastAsia="zh-CN"/>
              </w:rPr>
            </w:pPr>
            <w:r>
              <w:rPr>
                <w:rFonts w:eastAsia="Calibri" w:cs="Arial"/>
                <w:sz w:val="22"/>
                <w:szCs w:val="22"/>
                <w:lang w:val="en-US" w:eastAsia="zh-CN"/>
              </w:rPr>
              <w:t>Unclustered provisioning with cell-common signaling,</w:t>
            </w:r>
          </w:p>
          <w:p w14:paraId="59BD50BB">
            <w:pPr>
              <w:widowControl w:val="0"/>
              <w:tabs>
                <w:tab w:val="left" w:pos="0"/>
              </w:tabs>
              <w:spacing w:line="256" w:lineRule="auto"/>
              <w:rPr>
                <w:rFonts w:eastAsia="Calibri" w:cs="Arial"/>
                <w:sz w:val="22"/>
                <w:szCs w:val="22"/>
                <w:lang w:val="en-US" w:eastAsia="zh-CN"/>
              </w:rPr>
            </w:pPr>
            <w:r>
              <w:rPr>
                <w:rFonts w:eastAsia="Calibri" w:cs="Arial"/>
                <w:sz w:val="22"/>
                <w:szCs w:val="22"/>
                <w:lang w:val="en-US" w:eastAsia="zh-CN"/>
              </w:rPr>
              <w:t>UE impact:</w:t>
            </w:r>
          </w:p>
          <w:p w14:paraId="4399551F">
            <w:pPr>
              <w:widowControl w:val="0"/>
              <w:numPr>
                <w:ilvl w:val="0"/>
                <w:numId w:val="26"/>
              </w:numPr>
              <w:suppressAutoHyphens/>
              <w:spacing w:line="256" w:lineRule="auto"/>
              <w:jc w:val="both"/>
              <w:rPr>
                <w:rFonts w:eastAsia="Calibri" w:cs="Arial"/>
                <w:sz w:val="22"/>
                <w:szCs w:val="22"/>
                <w:lang w:val="en-US" w:eastAsia="zh-CN"/>
              </w:rPr>
            </w:pPr>
            <w:r>
              <w:rPr>
                <w:rFonts w:eastAsia="Calibri" w:cs="Arial"/>
                <w:sz w:val="22"/>
                <w:szCs w:val="22"/>
                <w:lang w:val="en-US" w:eastAsia="zh-CN"/>
              </w:rPr>
              <w:t xml:space="preserve">Cell search complexity and latency, </w:t>
            </w:r>
            <w:r>
              <w:rPr>
                <w:rFonts w:hint="eastAsia" w:cs="Arial" w:eastAsiaTheme="minorEastAsia"/>
                <w:sz w:val="22"/>
                <w:szCs w:val="22"/>
                <w:lang w:val="en-US" w:eastAsia="zh-CN"/>
              </w:rPr>
              <w:t>including frequency search latency,</w:t>
            </w:r>
          </w:p>
          <w:p w14:paraId="4ECEF52B">
            <w:pPr>
              <w:widowControl w:val="0"/>
              <w:numPr>
                <w:ilvl w:val="0"/>
                <w:numId w:val="26"/>
              </w:numPr>
              <w:suppressAutoHyphens/>
              <w:spacing w:line="256" w:lineRule="auto"/>
              <w:jc w:val="both"/>
              <w:rPr>
                <w:rFonts w:eastAsia="Calibri" w:cs="Arial"/>
                <w:sz w:val="22"/>
                <w:szCs w:val="22"/>
                <w:lang w:val="en-US" w:eastAsia="zh-CN"/>
              </w:rPr>
            </w:pPr>
            <w:r>
              <w:rPr>
                <w:rFonts w:eastAsia="Calibri" w:cs="Arial"/>
                <w:sz w:val="22"/>
                <w:szCs w:val="22"/>
                <w:lang w:val="en-US" w:eastAsia="zh-CN"/>
              </w:rPr>
              <w:t>UE</w:t>
            </w:r>
            <w:r>
              <w:rPr>
                <w:rFonts w:hint="eastAsia" w:cs="Arial" w:eastAsiaTheme="minorEastAsia"/>
                <w:sz w:val="22"/>
                <w:szCs w:val="22"/>
                <w:lang w:val="en-US" w:eastAsia="zh-CN"/>
              </w:rPr>
              <w:t xml:space="preserve"> </w:t>
            </w:r>
            <w:r>
              <w:rPr>
                <w:rFonts w:eastAsia="Calibri" w:cs="Arial"/>
                <w:sz w:val="22"/>
                <w:szCs w:val="22"/>
                <w:lang w:val="en-US" w:eastAsia="zh-CN"/>
              </w:rPr>
              <w:t>P</w:t>
            </w:r>
            <w:r>
              <w:rPr>
                <w:rFonts w:hint="eastAsia" w:cs="Arial" w:eastAsiaTheme="minorEastAsia"/>
                <w:sz w:val="22"/>
                <w:szCs w:val="22"/>
                <w:lang w:val="en-US" w:eastAsia="zh-CN"/>
              </w:rPr>
              <w:t>ower consumption</w:t>
            </w:r>
            <w:r>
              <w:rPr>
                <w:rFonts w:eastAsia="Calibri" w:cs="Arial"/>
                <w:sz w:val="22"/>
                <w:szCs w:val="22"/>
                <w:lang w:val="en-US" w:eastAsia="zh-CN"/>
              </w:rPr>
              <w:t>,</w:t>
            </w:r>
          </w:p>
          <w:p w14:paraId="74A0474A">
            <w:pPr>
              <w:widowControl w:val="0"/>
              <w:numPr>
                <w:ilvl w:val="0"/>
                <w:numId w:val="26"/>
              </w:numPr>
              <w:suppressAutoHyphens/>
              <w:spacing w:line="256" w:lineRule="auto"/>
              <w:jc w:val="both"/>
              <w:rPr>
                <w:rFonts w:eastAsia="Calibri" w:cs="Arial"/>
                <w:sz w:val="22"/>
                <w:szCs w:val="22"/>
                <w:lang w:val="en-US" w:eastAsia="zh-CN"/>
              </w:rPr>
            </w:pPr>
            <w:r>
              <w:rPr>
                <w:rFonts w:eastAsia="Calibri" w:cs="Arial"/>
                <w:sz w:val="22"/>
                <w:szCs w:val="22"/>
                <w:lang w:val="en-US" w:eastAsia="zh-CN"/>
              </w:rPr>
              <w:t>Sync signal detection</w:t>
            </w:r>
            <w:r>
              <w:rPr>
                <w:rFonts w:hint="eastAsia" w:cs="Arial" w:eastAsiaTheme="minorEastAsia"/>
                <w:sz w:val="22"/>
                <w:szCs w:val="22"/>
                <w:lang w:val="en-US" w:eastAsia="zh-CN"/>
              </w:rPr>
              <w:t>, coverage</w:t>
            </w:r>
            <w:r>
              <w:rPr>
                <w:rFonts w:eastAsia="Calibri" w:cs="Arial"/>
                <w:sz w:val="22"/>
                <w:szCs w:val="22"/>
                <w:lang w:val="en-US" w:eastAsia="zh-CN"/>
              </w:rPr>
              <w:t xml:space="preserve"> and tracking performance,</w:t>
            </w:r>
            <w:r>
              <w:rPr>
                <w:rFonts w:hint="eastAsia" w:cs="Arial" w:eastAsiaTheme="minorEastAsia"/>
                <w:sz w:val="22"/>
                <w:szCs w:val="22"/>
                <w:lang w:val="en-US" w:eastAsia="zh-CN"/>
              </w:rPr>
              <w:t xml:space="preserve"> </w:t>
            </w:r>
          </w:p>
          <w:p w14:paraId="43DBC576">
            <w:pPr>
              <w:pStyle w:val="51"/>
              <w:widowControl w:val="0"/>
              <w:numPr>
                <w:ilvl w:val="0"/>
                <w:numId w:val="26"/>
              </w:numPr>
              <w:suppressAutoHyphens/>
              <w:spacing w:line="256" w:lineRule="auto"/>
              <w:ind w:leftChars="0"/>
              <w:jc w:val="both"/>
              <w:rPr>
                <w:rFonts w:eastAsia="Calibri" w:cs="Arial"/>
                <w:sz w:val="22"/>
                <w:szCs w:val="22"/>
                <w:lang w:val="en-US" w:eastAsia="zh-CN"/>
              </w:rPr>
            </w:pPr>
            <w:r>
              <w:rPr>
                <w:rFonts w:eastAsia="Calibri" w:cs="Arial"/>
                <w:sz w:val="22"/>
                <w:szCs w:val="22"/>
                <w:lang w:eastAsia="zh-CN"/>
              </w:rPr>
              <w:t>RRM, mobility</w:t>
            </w:r>
            <w:r>
              <w:rPr>
                <w:rFonts w:eastAsia="Calibri" w:cs="Arial"/>
                <w:sz w:val="22"/>
                <w:szCs w:val="22"/>
                <w:lang w:val="en-US" w:eastAsia="zh-CN"/>
              </w:rPr>
              <w:t>,</w:t>
            </w:r>
          </w:p>
          <w:p w14:paraId="61332924">
            <w:pPr>
              <w:widowControl w:val="0"/>
              <w:numPr>
                <w:ilvl w:val="0"/>
                <w:numId w:val="26"/>
              </w:numPr>
              <w:suppressAutoHyphens/>
              <w:spacing w:line="256" w:lineRule="auto"/>
              <w:jc w:val="both"/>
              <w:rPr>
                <w:rFonts w:eastAsia="Calibri" w:cs="Arial"/>
                <w:sz w:val="22"/>
                <w:szCs w:val="22"/>
                <w:lang w:val="en-US" w:eastAsia="zh-CN"/>
              </w:rPr>
            </w:pPr>
            <w:r>
              <w:rPr>
                <w:rFonts w:eastAsia="Calibri" w:cs="Arial"/>
                <w:sz w:val="22"/>
                <w:szCs w:val="22"/>
                <w:lang w:val="en-US" w:eastAsia="zh-CN"/>
              </w:rPr>
              <w:t xml:space="preserve">Beam </w:t>
            </w:r>
            <w:r>
              <w:rPr>
                <w:rFonts w:hint="eastAsia" w:cs="Arial" w:eastAsiaTheme="minorEastAsia"/>
                <w:sz w:val="22"/>
                <w:szCs w:val="22"/>
                <w:lang w:val="en-US" w:eastAsia="zh-CN"/>
              </w:rPr>
              <w:t>management</w:t>
            </w:r>
            <w:r>
              <w:rPr>
                <w:rFonts w:eastAsia="Calibri" w:cs="Arial"/>
                <w:sz w:val="22"/>
                <w:szCs w:val="22"/>
                <w:lang w:val="en-US" w:eastAsia="zh-CN"/>
              </w:rPr>
              <w:t>,</w:t>
            </w:r>
          </w:p>
          <w:p w14:paraId="02BE2BCA">
            <w:pPr>
              <w:widowControl w:val="0"/>
              <w:numPr>
                <w:ilvl w:val="0"/>
                <w:numId w:val="26"/>
              </w:numPr>
              <w:suppressAutoHyphens/>
              <w:spacing w:line="256" w:lineRule="auto"/>
              <w:jc w:val="both"/>
              <w:rPr>
                <w:rFonts w:eastAsia="Calibri" w:cs="Arial"/>
                <w:sz w:val="22"/>
                <w:szCs w:val="22"/>
                <w:lang w:val="en-US" w:eastAsia="zh-CN"/>
              </w:rPr>
            </w:pPr>
            <w:r>
              <w:rPr>
                <w:rFonts w:eastAsia="Calibri" w:cs="Arial"/>
                <w:sz w:val="22"/>
                <w:szCs w:val="22"/>
                <w:lang w:val="en-US" w:eastAsia="zh-CN"/>
              </w:rPr>
              <w:t>Other properties are not precluded,</w:t>
            </w:r>
          </w:p>
          <w:p w14:paraId="54A29276">
            <w:pPr>
              <w:widowControl w:val="0"/>
              <w:numPr>
                <w:ilvl w:val="0"/>
                <w:numId w:val="26"/>
              </w:numPr>
              <w:suppressAutoHyphens/>
              <w:spacing w:line="256" w:lineRule="auto"/>
              <w:jc w:val="both"/>
              <w:rPr>
                <w:rFonts w:eastAsia="Calibri" w:cs="Arial"/>
                <w:sz w:val="22"/>
                <w:szCs w:val="22"/>
                <w:lang w:val="en-US" w:eastAsia="zh-CN"/>
              </w:rPr>
            </w:pPr>
            <w:r>
              <w:rPr>
                <w:rFonts w:eastAsia="Calibri" w:cs="Arial"/>
                <w:sz w:val="22"/>
                <w:szCs w:val="22"/>
                <w:lang w:val="en-US" w:eastAsia="zh-CN"/>
              </w:rPr>
              <w:t>Improvements to address identified impact, e.g.,</w:t>
            </w:r>
          </w:p>
          <w:p w14:paraId="7BD9ADE7">
            <w:pPr>
              <w:widowControl w:val="0"/>
              <w:numPr>
                <w:ilvl w:val="1"/>
                <w:numId w:val="26"/>
              </w:numPr>
              <w:suppressAutoHyphens/>
              <w:spacing w:line="256" w:lineRule="auto"/>
              <w:jc w:val="both"/>
              <w:rPr>
                <w:rFonts w:eastAsia="Calibri" w:cs="Arial"/>
                <w:sz w:val="22"/>
                <w:szCs w:val="22"/>
                <w:lang w:val="en-US" w:eastAsia="zh-CN"/>
              </w:rPr>
            </w:pPr>
            <w:r>
              <w:rPr>
                <w:rFonts w:eastAsia="Calibri" w:cs="Arial"/>
                <w:sz w:val="22"/>
                <w:szCs w:val="22"/>
                <w:lang w:val="en-US" w:eastAsia="zh-CN"/>
              </w:rPr>
              <w:t>Additional sync signal needs,</w:t>
            </w:r>
          </w:p>
          <w:p w14:paraId="68F1837B">
            <w:pPr>
              <w:widowControl w:val="0"/>
              <w:numPr>
                <w:ilvl w:val="1"/>
                <w:numId w:val="26"/>
              </w:numPr>
              <w:suppressAutoHyphens/>
              <w:spacing w:line="256" w:lineRule="auto"/>
              <w:jc w:val="both"/>
              <w:rPr>
                <w:rFonts w:eastAsia="Calibri" w:cs="Arial"/>
                <w:sz w:val="22"/>
                <w:szCs w:val="22"/>
                <w:lang w:val="en-US" w:eastAsia="zh-CN"/>
              </w:rPr>
            </w:pPr>
            <w:r>
              <w:rPr>
                <w:rFonts w:eastAsia="Calibri" w:cs="Arial"/>
                <w:sz w:val="22"/>
                <w:szCs w:val="22"/>
                <w:lang w:val="en-US" w:eastAsia="zh-CN"/>
              </w:rPr>
              <w:t>Adaptation of sync signal transmission periodicity,</w:t>
            </w:r>
          </w:p>
          <w:p w14:paraId="3FC5279C">
            <w:pPr>
              <w:widowControl w:val="0"/>
              <w:numPr>
                <w:ilvl w:val="1"/>
                <w:numId w:val="26"/>
              </w:numPr>
              <w:suppressAutoHyphens/>
              <w:spacing w:line="256" w:lineRule="auto"/>
              <w:jc w:val="both"/>
              <w:rPr>
                <w:rFonts w:ascii="Times" w:hAnsi="Times" w:eastAsia="Calibri" w:cs="Arial"/>
                <w:szCs w:val="24"/>
              </w:rPr>
            </w:pPr>
            <w:r>
              <w:rPr>
                <w:rFonts w:eastAsia="Calibri" w:cs="Arial"/>
                <w:sz w:val="22"/>
                <w:szCs w:val="22"/>
                <w:lang w:val="en-US" w:eastAsia="zh-CN"/>
              </w:rPr>
              <w:t>Sparser synch raster.</w:t>
            </w:r>
          </w:p>
        </w:tc>
      </w:tr>
    </w:tbl>
    <w:p w14:paraId="3AD0610B">
      <w:pPr>
        <w:tabs>
          <w:tab w:val="left" w:pos="432"/>
          <w:tab w:val="left" w:pos="720"/>
        </w:tabs>
        <w:jc w:val="both"/>
        <w:outlineLvl w:val="9"/>
      </w:pPr>
    </w:p>
    <w:p w14:paraId="7F6B17A1">
      <w:pPr>
        <w:tabs>
          <w:tab w:val="left" w:pos="432"/>
          <w:tab w:val="left" w:pos="720"/>
        </w:tabs>
        <w:jc w:val="center"/>
        <w:outlineLvl w:val="9"/>
        <w:rPr>
          <w:rFonts w:hint="default"/>
          <w:lang w:val="en-US" w:eastAsia="zh-CN"/>
        </w:rPr>
      </w:pPr>
      <w:r>
        <w:drawing>
          <wp:inline distT="0" distB="0" distL="114300" distR="114300">
            <wp:extent cx="4446905" cy="2947035"/>
            <wp:effectExtent l="0" t="0" r="23495" b="24765"/>
            <wp:docPr id="36"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5"/>
                    <pic:cNvPicPr>
                      <a:picLocks noChangeAspect="1"/>
                    </pic:cNvPicPr>
                  </pic:nvPicPr>
                  <pic:blipFill>
                    <a:blip r:embed="rId11"/>
                    <a:stretch>
                      <a:fillRect/>
                    </a:stretch>
                  </pic:blipFill>
                  <pic:spPr>
                    <a:xfrm>
                      <a:off x="0" y="0"/>
                      <a:ext cx="4446905" cy="2947035"/>
                    </a:xfrm>
                    <a:prstGeom prst="rect">
                      <a:avLst/>
                    </a:prstGeom>
                  </pic:spPr>
                </pic:pic>
              </a:graphicData>
            </a:graphic>
          </wp:inline>
        </w:drawing>
      </w:r>
    </w:p>
    <w:p w14:paraId="71559AA4">
      <w:pPr>
        <w:pStyle w:val="25"/>
        <w:keepNext w:val="0"/>
        <w:keepLines w:val="0"/>
        <w:widowControl/>
        <w:suppressLineNumbers w:val="0"/>
        <w:jc w:val="both"/>
        <w:rPr>
          <w:sz w:val="22"/>
          <w:szCs w:val="22"/>
        </w:rPr>
      </w:pPr>
      <w:r>
        <w:rPr>
          <w:rStyle w:val="32"/>
          <w:i w:val="0"/>
          <w:iCs/>
          <w:sz w:val="22"/>
          <w:szCs w:val="22"/>
        </w:rPr>
        <w:t>Clustered transmission</w:t>
      </w:r>
      <w:r>
        <w:rPr>
          <w:sz w:val="22"/>
          <w:szCs w:val="22"/>
        </w:rPr>
        <w:t xml:space="preserve"> refers to aggregating signaling transmissions—both cell-common (e.g., SSB, SIB1, paging, PRACH) and UE-specific—into aligned periodic bursts rather than distributing them continuously. This enables both the base station and UEs to enter deep or micro sleep outside the designated cluster window, sharply reducing baseline energy consumption. As shown in </w:t>
      </w:r>
      <w:r>
        <w:rPr>
          <w:rFonts w:hint="eastAsia" w:eastAsia="宋体"/>
          <w:sz w:val="22"/>
          <w:szCs w:val="22"/>
          <w:lang w:val="en-US" w:eastAsia="zh-CN"/>
        </w:rPr>
        <w:t>above</w:t>
      </w:r>
      <w:r>
        <w:rPr>
          <w:rFonts w:hint="default" w:eastAsia="宋体"/>
          <w:sz w:val="22"/>
          <w:szCs w:val="22"/>
          <w:lang w:val="en-US" w:eastAsia="zh-CN"/>
        </w:rPr>
        <w:t xml:space="preserve"> figure</w:t>
      </w:r>
      <w:r>
        <w:rPr>
          <w:sz w:val="22"/>
          <w:szCs w:val="22"/>
        </w:rPr>
        <w:t xml:space="preserve">, a single cluster window can accommodate multiple signaling functions with minimal overlap, minimizing the always-on burden. UEs align their DRX wake-ups to the cluster, allowing synchronized reception of common signals and reducing wake-up frequency. In low-power </w:t>
      </w:r>
      <w:r>
        <w:rPr>
          <w:rFonts w:hint="default"/>
          <w:sz w:val="22"/>
          <w:szCs w:val="22"/>
          <w:lang w:val="en-US"/>
        </w:rPr>
        <w:t>UEs</w:t>
      </w:r>
      <w:r>
        <w:rPr>
          <w:sz w:val="22"/>
          <w:szCs w:val="22"/>
        </w:rPr>
        <w:t xml:space="preserve">, longer DRX cycles and minimal RF activity make clustering particularly effective. For latency-sensitive UEs, hybrid </w:t>
      </w:r>
      <w:r>
        <w:rPr>
          <w:rFonts w:hint="default"/>
          <w:sz w:val="22"/>
          <w:szCs w:val="22"/>
          <w:lang w:val="en-US"/>
        </w:rPr>
        <w:t xml:space="preserve">clustered </w:t>
      </w:r>
      <w:r>
        <w:rPr>
          <w:sz w:val="22"/>
          <w:szCs w:val="22"/>
        </w:rPr>
        <w:t>operation is possible</w:t>
      </w:r>
      <w:r>
        <w:rPr>
          <w:rFonts w:hint="default"/>
          <w:sz w:val="22"/>
          <w:szCs w:val="22"/>
          <w:lang w:val="en-US"/>
        </w:rPr>
        <w:t>.</w:t>
      </w:r>
      <w:r>
        <w:rPr>
          <w:sz w:val="22"/>
          <w:szCs w:val="22"/>
        </w:rPr>
        <w:t xml:space="preserve"> On-demand SSB or PRACH configurations can further optimize energy by muting signals when no reception is required. Clustering is especially effective for low and light traffic loads, where inactivity between clusters is long, and energy per bit can be minimized. In 6G networks with anchor/secondary carrier separation, clusters can be carried on a lean anchor, while high-bandwidth secondary carriers are activated only during active transmission bursts. Similar concepts apply in wideband deployments, where only a narrow bandwidth part remains active outside of cluster periods.</w:t>
      </w:r>
    </w:p>
    <w:p w14:paraId="0BB57DFE">
      <w:pPr>
        <w:pStyle w:val="25"/>
        <w:keepNext w:val="0"/>
        <w:keepLines w:val="0"/>
        <w:widowControl/>
        <w:suppressLineNumbers w:val="0"/>
        <w:jc w:val="both"/>
        <w:rPr>
          <w:rFonts w:hint="default" w:ascii="Times New Roman Bold Italic" w:hAnsi="Times New Roman Bold Italic" w:eastAsia="宋体" w:cs="Times New Roman Bold Italic"/>
          <w:b/>
          <w:bCs/>
          <w:i/>
          <w:iCs/>
          <w:sz w:val="22"/>
          <w:szCs w:val="22"/>
          <w:lang w:val="en-US" w:eastAsia="zh-CN"/>
        </w:rPr>
      </w:pPr>
      <w:r>
        <w:rPr>
          <w:rFonts w:hint="default" w:ascii="Times New Roman Bold Italic" w:hAnsi="Times New Roman Bold Italic" w:eastAsia="宋体" w:cs="Times New Roman Bold Italic"/>
          <w:b/>
          <w:bCs/>
          <w:i/>
          <w:iCs/>
          <w:sz w:val="22"/>
          <w:szCs w:val="22"/>
          <w:lang w:val="en-US" w:eastAsia="zh-CN"/>
        </w:rPr>
        <w:t xml:space="preserve">Observation </w:t>
      </w:r>
      <w:r>
        <w:rPr>
          <w:rFonts w:hint="eastAsia" w:ascii="Times New Roman Bold Italic" w:hAnsi="Times New Roman Bold Italic" w:eastAsia="宋体" w:cs="Times New Roman Bold Italic"/>
          <w:b/>
          <w:bCs/>
          <w:i/>
          <w:iCs/>
          <w:sz w:val="22"/>
          <w:szCs w:val="22"/>
          <w:lang w:val="en-US" w:eastAsia="zh-CN"/>
        </w:rPr>
        <w:t>23</w:t>
      </w:r>
      <w:r>
        <w:rPr>
          <w:rFonts w:hint="default" w:ascii="Times New Roman Bold Italic" w:hAnsi="Times New Roman Bold Italic" w:eastAsia="宋体" w:cs="Times New Roman Bold Italic"/>
          <w:b/>
          <w:bCs/>
          <w:i/>
          <w:iCs/>
          <w:sz w:val="22"/>
          <w:szCs w:val="22"/>
          <w:lang w:val="en-US" w:eastAsia="zh-CN"/>
        </w:rPr>
        <w:t xml:space="preserve">: A single cluster window can accommodate multiple signaling functions with minimal overlap, minimizing the always-on burden. </w:t>
      </w:r>
    </w:p>
    <w:p w14:paraId="5A929363">
      <w:pPr>
        <w:pStyle w:val="25"/>
        <w:keepNext w:val="0"/>
        <w:keepLines w:val="0"/>
        <w:widowControl/>
        <w:suppressLineNumbers w:val="0"/>
        <w:jc w:val="both"/>
        <w:rPr>
          <w:rFonts w:hint="default" w:ascii="Times New Roman Bold Italic" w:hAnsi="Times New Roman Bold Italic" w:eastAsia="宋体" w:cs="Times New Roman Bold Italic"/>
          <w:b/>
          <w:bCs/>
          <w:i/>
          <w:iCs/>
          <w:sz w:val="22"/>
          <w:szCs w:val="22"/>
          <w:lang w:val="en-US" w:eastAsia="zh-CN"/>
        </w:rPr>
      </w:pPr>
      <w:r>
        <w:rPr>
          <w:rFonts w:hint="default" w:ascii="Times New Roman Bold Italic" w:hAnsi="Times New Roman Bold Italic" w:eastAsia="宋体" w:cs="Times New Roman Bold Italic"/>
          <w:b/>
          <w:bCs/>
          <w:i/>
          <w:iCs/>
          <w:sz w:val="22"/>
          <w:szCs w:val="22"/>
          <w:lang w:val="en-US" w:eastAsia="zh-CN"/>
        </w:rPr>
        <w:t xml:space="preserve">Observation </w:t>
      </w:r>
      <w:r>
        <w:rPr>
          <w:rFonts w:hint="eastAsia" w:ascii="Times New Roman Bold Italic" w:hAnsi="Times New Roman Bold Italic" w:eastAsia="宋体" w:cs="Times New Roman Bold Italic"/>
          <w:b/>
          <w:bCs/>
          <w:i/>
          <w:iCs/>
          <w:sz w:val="22"/>
          <w:szCs w:val="22"/>
          <w:lang w:val="en-US" w:eastAsia="zh-CN"/>
        </w:rPr>
        <w:t>24</w:t>
      </w:r>
      <w:r>
        <w:rPr>
          <w:rFonts w:hint="default" w:ascii="Times New Roman Bold Italic" w:hAnsi="Times New Roman Bold Italic" w:eastAsia="宋体" w:cs="Times New Roman Bold Italic"/>
          <w:b/>
          <w:bCs/>
          <w:i/>
          <w:iCs/>
          <w:sz w:val="22"/>
          <w:szCs w:val="22"/>
          <w:lang w:val="en-US" w:eastAsia="zh-CN"/>
        </w:rPr>
        <w:t xml:space="preserve">: </w:t>
      </w:r>
      <w:r>
        <w:rPr>
          <w:rFonts w:hint="default" w:ascii="Times New Roman Bold Italic" w:hAnsi="Times New Roman Bold Italic" w:cs="Times New Roman Bold Italic"/>
          <w:b/>
          <w:bCs/>
          <w:i/>
          <w:iCs/>
          <w:sz w:val="22"/>
          <w:szCs w:val="22"/>
        </w:rPr>
        <w:t xml:space="preserve">In low-power </w:t>
      </w:r>
      <w:r>
        <w:rPr>
          <w:rFonts w:hint="default" w:ascii="Times New Roman Bold Italic" w:hAnsi="Times New Roman Bold Italic" w:cs="Times New Roman Bold Italic"/>
          <w:b/>
          <w:bCs/>
          <w:i/>
          <w:iCs/>
          <w:sz w:val="22"/>
          <w:szCs w:val="22"/>
          <w:lang w:val="en-US"/>
        </w:rPr>
        <w:t>UEs</w:t>
      </w:r>
      <w:r>
        <w:rPr>
          <w:rFonts w:hint="default" w:ascii="Times New Roman Bold Italic" w:hAnsi="Times New Roman Bold Italic" w:cs="Times New Roman Bold Italic"/>
          <w:b/>
          <w:bCs/>
          <w:i/>
          <w:iCs/>
          <w:sz w:val="22"/>
          <w:szCs w:val="22"/>
        </w:rPr>
        <w:t xml:space="preserve">, longer DRX cycles and minimal RF activity make clustering particularly effective. For latency-sensitive UEs, hybrid </w:t>
      </w:r>
      <w:r>
        <w:rPr>
          <w:rFonts w:hint="default" w:ascii="Times New Roman Bold Italic" w:hAnsi="Times New Roman Bold Italic" w:cs="Times New Roman Bold Italic"/>
          <w:b/>
          <w:bCs/>
          <w:i/>
          <w:iCs/>
          <w:sz w:val="22"/>
          <w:szCs w:val="22"/>
          <w:lang w:val="en-US"/>
        </w:rPr>
        <w:t xml:space="preserve">clustered </w:t>
      </w:r>
      <w:r>
        <w:rPr>
          <w:rFonts w:hint="default" w:ascii="Times New Roman Bold Italic" w:hAnsi="Times New Roman Bold Italic" w:cs="Times New Roman Bold Italic"/>
          <w:b/>
          <w:bCs/>
          <w:i/>
          <w:iCs/>
          <w:sz w:val="22"/>
          <w:szCs w:val="22"/>
        </w:rPr>
        <w:t>operation is possible</w:t>
      </w:r>
      <w:r>
        <w:rPr>
          <w:rFonts w:hint="default" w:ascii="Times New Roman Bold Italic" w:hAnsi="Times New Roman Bold Italic" w:cs="Times New Roman Bold Italic"/>
          <w:b/>
          <w:bCs/>
          <w:i/>
          <w:iCs/>
          <w:sz w:val="22"/>
          <w:szCs w:val="22"/>
          <w:lang w:val="en-US"/>
        </w:rPr>
        <w:t>.</w:t>
      </w:r>
    </w:p>
    <w:p w14:paraId="582D2D99">
      <w:pPr>
        <w:pStyle w:val="25"/>
        <w:keepNext w:val="0"/>
        <w:keepLines w:val="0"/>
        <w:widowControl/>
        <w:suppressLineNumbers w:val="0"/>
        <w:jc w:val="both"/>
        <w:rPr>
          <w:sz w:val="22"/>
          <w:szCs w:val="22"/>
        </w:rPr>
      </w:pPr>
      <w:r>
        <w:rPr>
          <w:sz w:val="22"/>
          <w:szCs w:val="22"/>
        </w:rPr>
        <w:t>Under medium loads, clusters become more frequent and the benefits of sleep-time shrink, but clustering remains useful by aligning UE-specific data bursts and minimizing signaling redundancy. The network may dynamically adjust cluster periodicity based on load, use case, or UE type, balancing energy savings with QoS. For example, clustered paging may increase access delay slightly, but simulations show energy reductions of ~20–50% in light-load conditions and ~10–20% at medium loads, depending on configuration. Trade-offs include potential contention in random access if many UEs attempt RA in the same cluster window, which can be addressed by scaling RA resources or prioritizing cluster timing. Moreover, clustering can enable synchronized wake-up patterns across UEs, facilitating more efficient scheduling and reduced control overhead. Overall, clustering supports the 6G design goal of “Less ON, More OFF” by concentrating network activity and minimizing unnecessary energy use.</w:t>
      </w:r>
    </w:p>
    <w:p w14:paraId="467A6F1C">
      <w:pPr>
        <w:pStyle w:val="25"/>
        <w:keepNext w:val="0"/>
        <w:keepLines w:val="0"/>
        <w:widowControl/>
        <w:suppressLineNumbers w:val="0"/>
        <w:jc w:val="both"/>
        <w:rPr>
          <w:rFonts w:hint="default" w:ascii="Times New Roman Bold Italic" w:hAnsi="Times New Roman Bold Italic" w:cs="Times New Roman Bold Italic"/>
          <w:i/>
          <w:iCs/>
          <w:sz w:val="22"/>
          <w:szCs w:val="22"/>
          <w:lang w:val="en-US"/>
        </w:rPr>
      </w:pPr>
      <w:r>
        <w:rPr>
          <w:rStyle w:val="30"/>
          <w:rFonts w:hint="default" w:ascii="Times New Roman Bold Italic" w:hAnsi="Times New Roman Bold Italic" w:cs="Times New Roman Bold Italic"/>
          <w:i/>
          <w:iCs/>
          <w:sz w:val="22"/>
          <w:szCs w:val="22"/>
        </w:rPr>
        <w:t>Observation</w:t>
      </w:r>
      <w:r>
        <w:rPr>
          <w:rStyle w:val="30"/>
          <w:rFonts w:hint="default" w:ascii="Times New Roman Bold Italic" w:hAnsi="Times New Roman Bold Italic" w:cs="Times New Roman Bold Italic"/>
          <w:i/>
          <w:iCs/>
          <w:sz w:val="22"/>
          <w:szCs w:val="22"/>
          <w:lang w:val="en-US"/>
        </w:rPr>
        <w:t xml:space="preserve"> </w:t>
      </w:r>
      <w:r>
        <w:rPr>
          <w:rStyle w:val="30"/>
          <w:rFonts w:hint="eastAsia" w:ascii="Times New Roman Bold Italic" w:hAnsi="Times New Roman Bold Italic" w:eastAsia="宋体" w:cs="Times New Roman Bold Italic"/>
          <w:i/>
          <w:iCs/>
          <w:sz w:val="22"/>
          <w:szCs w:val="22"/>
          <w:lang w:val="en-US" w:eastAsia="zh-CN"/>
        </w:rPr>
        <w:t>25</w:t>
      </w:r>
      <w:r>
        <w:rPr>
          <w:rStyle w:val="30"/>
          <w:rFonts w:hint="default" w:ascii="Times New Roman Bold Italic" w:hAnsi="Times New Roman Bold Italic" w:cs="Times New Roman Bold Italic"/>
          <w:i/>
          <w:iCs/>
          <w:sz w:val="22"/>
          <w:szCs w:val="22"/>
        </w:rPr>
        <w:t>:</w:t>
      </w:r>
      <w:r>
        <w:rPr>
          <w:rFonts w:hint="default" w:ascii="Times New Roman Bold Italic" w:hAnsi="Times New Roman Bold Italic" w:cs="Times New Roman Bold Italic"/>
          <w:i/>
          <w:iCs/>
          <w:sz w:val="22"/>
          <w:szCs w:val="22"/>
        </w:rPr>
        <w:t xml:space="preserve"> </w:t>
      </w:r>
      <w:r>
        <w:rPr>
          <w:rFonts w:hint="default" w:ascii="Times New Roman Bold Italic" w:hAnsi="Times New Roman Bold Italic" w:cs="Times New Roman Bold Italic"/>
          <w:b/>
          <w:bCs/>
          <w:i/>
          <w:iCs/>
          <w:sz w:val="22"/>
          <w:szCs w:val="22"/>
          <w:lang w:val="en-US"/>
        </w:rPr>
        <w:t>C</w:t>
      </w:r>
      <w:r>
        <w:rPr>
          <w:rFonts w:hint="default" w:ascii="Times New Roman Bold Italic" w:hAnsi="Times New Roman Bold Italic" w:cs="Times New Roman Bold Italic"/>
          <w:b/>
          <w:bCs/>
          <w:i/>
          <w:iCs/>
          <w:sz w:val="22"/>
          <w:szCs w:val="22"/>
        </w:rPr>
        <w:t>lustered paging may increase access delay slightly, but simulations show energy reductions of ~20–50% in light-load conditions and ~10–20% at medium loads, depending on configuration</w:t>
      </w:r>
      <w:r>
        <w:rPr>
          <w:rFonts w:hint="default" w:ascii="Times New Roman Bold Italic" w:hAnsi="Times New Roman Bold Italic" w:cs="Times New Roman Bold Italic"/>
          <w:b/>
          <w:bCs/>
          <w:i/>
          <w:iCs/>
          <w:sz w:val="22"/>
          <w:szCs w:val="22"/>
          <w:lang w:val="en-US"/>
        </w:rPr>
        <w:t>.</w:t>
      </w:r>
    </w:p>
    <w:p w14:paraId="526BAE17">
      <w:pPr>
        <w:pStyle w:val="25"/>
        <w:keepNext w:val="0"/>
        <w:keepLines w:val="0"/>
        <w:widowControl/>
        <w:suppressLineNumbers w:val="0"/>
        <w:jc w:val="both"/>
        <w:rPr>
          <w:rFonts w:hint="default" w:ascii="Times New Roman Bold Italic" w:hAnsi="Times New Roman Bold Italic" w:cs="Times New Roman Bold Italic"/>
          <w:i/>
          <w:iCs/>
          <w:sz w:val="22"/>
          <w:szCs w:val="22"/>
          <w:lang w:val="en-US" w:eastAsia="zh-CN"/>
        </w:rPr>
      </w:pPr>
      <w:r>
        <w:rPr>
          <w:rStyle w:val="30"/>
          <w:rFonts w:hint="default" w:ascii="Times New Roman Bold Italic" w:hAnsi="Times New Roman Bold Italic" w:cs="Times New Roman Bold Italic"/>
          <w:i/>
          <w:iCs/>
          <w:sz w:val="22"/>
          <w:szCs w:val="22"/>
        </w:rPr>
        <w:t>Proposal</w:t>
      </w:r>
      <w:r>
        <w:rPr>
          <w:rStyle w:val="30"/>
          <w:rFonts w:hint="default" w:ascii="Times New Roman Bold Italic" w:hAnsi="Times New Roman Bold Italic" w:cs="Times New Roman Bold Italic"/>
          <w:i/>
          <w:iCs/>
          <w:sz w:val="22"/>
          <w:szCs w:val="22"/>
          <w:lang w:val="en-US"/>
        </w:rPr>
        <w:t xml:space="preserve"> </w:t>
      </w:r>
      <w:r>
        <w:rPr>
          <w:rStyle w:val="30"/>
          <w:rFonts w:hint="eastAsia" w:ascii="Times New Roman Bold Italic" w:hAnsi="Times New Roman Bold Italic" w:eastAsia="宋体" w:cs="Times New Roman Bold Italic"/>
          <w:i/>
          <w:iCs/>
          <w:sz w:val="22"/>
          <w:szCs w:val="22"/>
          <w:lang w:val="en-US" w:eastAsia="zh-CN"/>
        </w:rPr>
        <w:t>23</w:t>
      </w:r>
      <w:r>
        <w:rPr>
          <w:rStyle w:val="30"/>
          <w:rFonts w:hint="default" w:ascii="Times New Roman Bold Italic" w:hAnsi="Times New Roman Bold Italic" w:cs="Times New Roman Bold Italic"/>
          <w:i/>
          <w:iCs/>
          <w:sz w:val="22"/>
          <w:szCs w:val="22"/>
        </w:rPr>
        <w:t>:</w:t>
      </w:r>
      <w:r>
        <w:rPr>
          <w:rFonts w:hint="default" w:ascii="Times New Roman Bold Italic" w:hAnsi="Times New Roman Bold Italic" w:cs="Times New Roman Bold Italic"/>
          <w:i/>
          <w:iCs/>
          <w:sz w:val="22"/>
          <w:szCs w:val="22"/>
        </w:rPr>
        <w:t xml:space="preserve"> </w:t>
      </w:r>
      <w:r>
        <w:rPr>
          <w:rFonts w:hint="default" w:ascii="Times New Roman Bold Italic" w:hAnsi="Times New Roman Bold Italic" w:eastAsia="宋体" w:cs="Times New Roman Bold Italic"/>
          <w:i/>
          <w:iCs/>
          <w:sz w:val="22"/>
          <w:szCs w:val="22"/>
          <w:lang w:val="en-US" w:eastAsia="zh-CN"/>
        </w:rPr>
        <w:t>Consider a</w:t>
      </w:r>
      <w:r>
        <w:rPr>
          <w:rFonts w:hint="default" w:ascii="Times New Roman Bold Italic" w:hAnsi="Times New Roman Bold Italic" w:cs="Times New Roman Bold Italic"/>
          <w:i/>
          <w:iCs/>
          <w:sz w:val="22"/>
          <w:szCs w:val="22"/>
        </w:rPr>
        <w:t>dapt</w:t>
      </w:r>
      <w:r>
        <w:rPr>
          <w:rFonts w:hint="default" w:ascii="Times New Roman Bold Italic" w:hAnsi="Times New Roman Bold Italic" w:cs="Times New Roman Bold Italic"/>
          <w:i/>
          <w:iCs/>
          <w:sz w:val="22"/>
          <w:szCs w:val="22"/>
          <w:lang w:val="en-US"/>
        </w:rPr>
        <w:t>ation of</w:t>
      </w:r>
      <w:r>
        <w:rPr>
          <w:rFonts w:hint="default" w:ascii="Times New Roman Bold Italic" w:hAnsi="Times New Roman Bold Italic" w:cs="Times New Roman Bold Italic"/>
          <w:i/>
          <w:iCs/>
          <w:sz w:val="22"/>
          <w:szCs w:val="22"/>
        </w:rPr>
        <w:t xml:space="preserve"> cluster scheduling to traffic conditions and device capabilities, maximizing sleep intervals without QoS impact.</w:t>
      </w:r>
    </w:p>
    <w:p w14:paraId="2A762890">
      <w:pPr>
        <w:numPr>
          <w:ilvl w:val="0"/>
          <w:numId w:val="0"/>
        </w:numPr>
        <w:ind w:left="475" w:leftChars="0"/>
        <w:rPr>
          <w:rFonts w:hint="default"/>
          <w:lang w:val="en-US" w:eastAsia="zh-CN"/>
        </w:rPr>
      </w:pPr>
      <w:r>
        <w:rPr>
          <w:rFonts w:hint="eastAsia"/>
          <w:lang w:val="en-US" w:eastAsia="zh-CN"/>
        </w:rPr>
        <w:t xml:space="preserve"> </w:t>
      </w:r>
    </w:p>
    <w:p w14:paraId="51EFC040">
      <w:pPr>
        <w:numPr>
          <w:ilvl w:val="0"/>
          <w:numId w:val="0"/>
        </w:numPr>
        <w:ind w:left="55" w:leftChars="0"/>
        <w:outlineLvl w:val="2"/>
        <w:rPr>
          <w:rFonts w:hint="eastAsia"/>
          <w:b/>
          <w:bCs/>
          <w:lang w:val="en-US" w:eastAsia="zh-CN"/>
        </w:rPr>
      </w:pPr>
      <w:r>
        <w:rPr>
          <w:rFonts w:hint="eastAsia"/>
          <w:b/>
          <w:bCs/>
          <w:lang w:val="en-US" w:eastAsia="zh-CN"/>
        </w:rPr>
        <w:t xml:space="preserve">5.1.2 Multi-carrier </w:t>
      </w:r>
      <w:r>
        <w:rPr>
          <w:rFonts w:hint="default"/>
          <w:b/>
          <w:bCs/>
          <w:lang w:val="en-US" w:eastAsia="zh-CN"/>
        </w:rPr>
        <w:t>and CA</w:t>
      </w:r>
    </w:p>
    <w:p w14:paraId="16E4085D">
      <w:pPr>
        <w:pStyle w:val="5"/>
        <w:rPr>
          <w:sz w:val="22"/>
          <w:szCs w:val="22"/>
          <w:lang w:eastAsia="zh-CN"/>
        </w:rPr>
      </w:pPr>
      <w:r>
        <w:rPr>
          <w:sz w:val="22"/>
          <w:szCs w:val="22"/>
          <w:lang w:eastAsia="zh-CN"/>
        </w:rPr>
        <w:t>In 6G, a key energy-saving paradigm is an anchor-capacity carrier structure, where one “anchor” carrier handles essential signals while additional carriers remain mostly dormant. The anchor (e.g. a low-frequency cell) continuously provides minimum coverage and broadcasts only necessary synchronization or system information, whereas high-bandwidth SCells are activated on-demand for data bursts. This avoids the legacy approach of every carrier transmitting always-on reference signals. For instance, rather than each carrier periodically sending SSB and system info, 6G can designate a primary cell to carry those for the whole network slice, keeping other carriers in a deep sleep state until traffic requires their use. Studies indicate that such on-demand multi-carrier operation can yield drastic network energy savings – a simulation in NR showed up to ~83.7% BS energy reduction at zero load by eliminating continuous broadcasts on secondary carriers. In essence, any spectrum band idle at a given moment should consume near-zero power, enabled by the anchor handling all common signaling.</w:t>
      </w:r>
    </w:p>
    <w:p w14:paraId="3288DF01">
      <w:pPr>
        <w:pStyle w:val="5"/>
        <w:jc w:val="center"/>
        <w:rPr>
          <w:rFonts w:ascii="Times New Roman Italic" w:hAnsi="Times New Roman Italic" w:cs="Times New Roman Italic"/>
          <w:i/>
          <w:iCs/>
          <w:sz w:val="22"/>
          <w:szCs w:val="22"/>
          <w:lang w:eastAsia="zh-CN"/>
        </w:rPr>
      </w:pPr>
      <w:r>
        <w:rPr>
          <w:sz w:val="22"/>
          <w:szCs w:val="22"/>
        </w:rPr>
        <w:drawing>
          <wp:inline distT="0" distB="0" distL="114300" distR="114300">
            <wp:extent cx="2830830" cy="1872615"/>
            <wp:effectExtent l="0" t="0" r="13970" b="6985"/>
            <wp:docPr id="25"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pic:cNvPicPr>
                      <a:picLocks noChangeAspect="1" noChangeArrowheads="1"/>
                    </pic:cNvPicPr>
                  </pic:nvPicPr>
                  <pic:blipFill>
                    <a:blip r:embed="rId12"/>
                    <a:stretch>
                      <a:fillRect/>
                    </a:stretch>
                  </pic:blipFill>
                  <pic:spPr>
                    <a:xfrm>
                      <a:off x="0" y="0"/>
                      <a:ext cx="2830830" cy="1872615"/>
                    </a:xfrm>
                    <a:prstGeom prst="rect">
                      <a:avLst/>
                    </a:prstGeom>
                    <a:noFill/>
                    <a:ln w="9525">
                      <a:noFill/>
                    </a:ln>
                  </pic:spPr>
                </pic:pic>
              </a:graphicData>
            </a:graphic>
          </wp:inline>
        </w:drawing>
      </w:r>
    </w:p>
    <w:p w14:paraId="7D4E792A">
      <w:pPr>
        <w:pStyle w:val="5"/>
        <w:rPr>
          <w:sz w:val="22"/>
          <w:szCs w:val="22"/>
          <w:lang w:eastAsia="zh-CN"/>
        </w:rPr>
      </w:pPr>
      <w:r>
        <w:rPr>
          <w:sz w:val="22"/>
          <w:szCs w:val="22"/>
          <w:lang w:eastAsia="zh-CN"/>
        </w:rPr>
        <w:t xml:space="preserve">To realize this, fast SCell activation and dormancy procedures are critical. 6G devices and base stations must coordinate to swiftly switch secondary carriers on or off without lengthy setup delays. If a UE’s data demand spikes or incoming traffic is detected, the network should rapidly wake the necessary SCells, transmit or receive the data, then promptly return those carriers to sleep. This may involve new control signaling – e.g. a brief wake-up indicator on the anchor or an uplink trigger from the UE – to initiate SCell activation. Enhancements over 5G include ensuring that adding a carrier doesn’t require heavy measurement or synchronization overhead; for example, SSB-less SCells are envisaged as baseline in 6G in a SSB-less SCell design, the secondary carrier carries no periodic sync broadcast at all – the UE uses timing from the anchor and only receives a synchronization burst on the SCell when it’s explicitly activated. </w:t>
      </w:r>
    </w:p>
    <w:p w14:paraId="51F2CF11">
      <w:pPr>
        <w:pStyle w:val="25"/>
        <w:keepNext w:val="0"/>
        <w:keepLines w:val="0"/>
        <w:widowControl/>
        <w:suppressLineNumbers w:val="0"/>
        <w:jc w:val="both"/>
        <w:rPr>
          <w:rStyle w:val="30"/>
          <w:rFonts w:hint="default" w:ascii="Times New Roman Bold Italic" w:hAnsi="Times New Roman Bold Italic" w:eastAsia="宋体" w:cs="Times New Roman Bold Italic"/>
          <w:i/>
          <w:iCs/>
          <w:sz w:val="22"/>
          <w:szCs w:val="22"/>
          <w:lang w:val="en-US" w:eastAsia="zh-CN"/>
        </w:rPr>
      </w:pPr>
      <w:r>
        <w:rPr>
          <w:rStyle w:val="30"/>
          <w:rFonts w:hint="eastAsia" w:ascii="Times New Roman Bold Italic" w:hAnsi="Times New Roman Bold Italic" w:eastAsia="宋体" w:cs="Times New Roman Bold Italic"/>
          <w:i/>
          <w:iCs/>
          <w:sz w:val="22"/>
          <w:szCs w:val="22"/>
          <w:lang w:val="en-US" w:eastAsia="zh-CN"/>
        </w:rPr>
        <w:t>Proposal 24</w:t>
      </w:r>
      <w:r>
        <w:rPr>
          <w:rStyle w:val="30"/>
          <w:rFonts w:hint="default" w:ascii="Times New Roman Bold Italic" w:hAnsi="Times New Roman Bold Italic" w:eastAsia="宋体" w:cs="Times New Roman Bold Italic"/>
          <w:i/>
          <w:iCs/>
          <w:sz w:val="22"/>
          <w:szCs w:val="22"/>
          <w:lang w:val="en-US" w:eastAsia="zh-CN"/>
        </w:rPr>
        <w:t>: C</w:t>
      </w:r>
      <w:r>
        <w:rPr>
          <w:rStyle w:val="30"/>
          <w:rFonts w:hint="default" w:ascii="Times New Roman Bold Italic" w:hAnsi="Times New Roman Bold Italic" w:eastAsia="宋体" w:cs="Times New Roman Bold Italic"/>
          <w:i/>
          <w:iCs/>
          <w:sz w:val="22"/>
          <w:szCs w:val="22"/>
          <w:lang w:val="en-US" w:eastAsia="zh-TW"/>
        </w:rPr>
        <w:t>onsider harmonization and coordination of 6G BW adaptation design to support multi-carrier/spectrum operation, multi-TRP operation  for 6GR EE.</w:t>
      </w:r>
    </w:p>
    <w:p w14:paraId="594FADBF">
      <w:pPr>
        <w:pStyle w:val="5"/>
        <w:rPr>
          <w:sz w:val="22"/>
          <w:szCs w:val="22"/>
          <w:lang w:eastAsia="zh-CN"/>
        </w:rPr>
      </w:pPr>
      <w:r>
        <w:rPr>
          <w:sz w:val="22"/>
          <w:szCs w:val="22"/>
          <w:lang w:eastAsia="zh-CN"/>
        </w:rPr>
        <w:t>Beyond on-demand activation, specialized carrier roles can further save energy.</w:t>
      </w:r>
      <w:r>
        <w:rPr>
          <w:rFonts w:hint="eastAsia"/>
          <w:sz w:val="22"/>
          <w:szCs w:val="22"/>
          <w:lang w:eastAsia="zh-CN"/>
        </w:rPr>
        <w:t>It</w:t>
      </w:r>
      <w:r>
        <w:rPr>
          <w:sz w:val="22"/>
          <w:szCs w:val="22"/>
          <w:lang w:eastAsia="zh-CN"/>
        </w:rPr>
        <w:t xml:space="preserve"> might include UL-only or DL-only cells, where a cell is dedicated to uplink or downlink respectively. For instance, an UL-only TRP (transmit/receive point) would not broadcast any downlink signals, instead only receiving uplink data from devices – this could save power on the network side by turning off downlink RF chains, and also potentially reduce UE transmit power by positioning UL-only receivers closer to devices. Likewise, a DL-only cell could carry downlink traffic while relying on a different low-power uplink channel for acknowledgments, avoiding continuous uplink sensing by UEs on that band. These asymmetric cell configurations reflect the flexibility of 6G’s multi-carrier architecture: the network could dynamically allocate carriers as uplink-only, downlink-only, or full duplex based on traffic needs, minimizing any unnecessary transmitters.</w:t>
      </w:r>
    </w:p>
    <w:p w14:paraId="4509E752">
      <w:pPr>
        <w:pStyle w:val="5"/>
        <w:rPr>
          <w:sz w:val="22"/>
          <w:szCs w:val="22"/>
          <w:lang w:eastAsia="zh-CN"/>
        </w:rPr>
      </w:pPr>
      <w:r>
        <w:rPr>
          <w:sz w:val="22"/>
          <w:szCs w:val="22"/>
          <w:lang w:eastAsia="zh-CN"/>
        </w:rPr>
        <w:t xml:space="preserve">Efficient multi-carrier operation also requires an overall coordination procedure. The network must manage which carriers are active across the cell and how they interact with mechanisms like DRX and cell DTX. For example, when the anchor cell enters a micro-sleep due to no traffic, all secondary carriers should obviously remain off as well. Conversely, when a device in DRX mode awakens or triggers a wake-up signal indicating impending data, the scheduler can decide whether the anchor alone suffices or an SCell should be woken to serve the data burst. Another challenge is inter-carrier synchronization: ensuring a UE can quickly attain timing/frequency sync on a secondary carrier without extensive search. Solutions could leverage cross-carrier signals or assistance from the anchor since the UE is already synchronized to the anchor. </w:t>
      </w:r>
    </w:p>
    <w:p w14:paraId="68552EC5">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val="en-US" w:eastAsia="zh-CN"/>
        </w:rPr>
        <w:t>26</w:t>
      </w:r>
      <w:r>
        <w:rPr>
          <w:rFonts w:ascii="Times New Roman Bold Italic" w:hAnsi="Times New Roman Bold Italic" w:cs="Times New Roman Bold Italic"/>
          <w:b/>
          <w:bCs/>
          <w:i/>
          <w:iCs/>
          <w:lang w:eastAsia="zh-CN"/>
        </w:rPr>
        <w:t>: 6G requires rapid activation and dormancy of secondary carriers, support for uplink-/downlink-only cells, and coordination with DRX/DTX to enable efficient multi-carrier energy savings.</w:t>
      </w:r>
    </w:p>
    <w:p w14:paraId="0B044D06">
      <w:pPr>
        <w:pStyle w:val="5"/>
        <w:rPr>
          <w:rFonts w:ascii="Times New Roman Bold Italic" w:hAnsi="Times New Roman Bold Italic" w:cs="Times New Roman Bold Italic"/>
          <w:b/>
          <w:bCs/>
          <w:i/>
          <w:iCs/>
          <w:lang w:eastAsia="zh-CN"/>
        </w:rPr>
      </w:pPr>
      <w:r>
        <w:rPr>
          <w:rFonts w:hint="default" w:ascii="Times New Roman Bold Italic" w:hAnsi="Times New Roman Bold Italic" w:cs="Times New Roman Bold Italic"/>
          <w:b/>
          <w:bCs/>
          <w:i/>
          <w:iCs/>
          <w:sz w:val="22"/>
          <w:szCs w:val="22"/>
          <w:lang w:val="en-US" w:eastAsia="zh-CN"/>
        </w:rPr>
        <w:t xml:space="preserve">Proposal </w:t>
      </w:r>
      <w:r>
        <w:rPr>
          <w:rFonts w:hint="eastAsia" w:ascii="Times New Roman Bold Italic" w:hAnsi="Times New Roman Bold Italic" w:cs="Times New Roman Bold Italic"/>
          <w:b/>
          <w:bCs/>
          <w:i/>
          <w:iCs/>
          <w:sz w:val="22"/>
          <w:szCs w:val="22"/>
          <w:lang w:val="en-US" w:eastAsia="zh-CN"/>
        </w:rPr>
        <w:t>25</w:t>
      </w:r>
      <w:r>
        <w:rPr>
          <w:rFonts w:hint="default" w:ascii="Times New Roman Bold Italic" w:hAnsi="Times New Roman Bold Italic" w:cs="Times New Roman Bold Italic"/>
          <w:b/>
          <w:bCs/>
          <w:i/>
          <w:iCs/>
          <w:sz w:val="22"/>
          <w:szCs w:val="22"/>
          <w:lang w:val="en-US" w:eastAsia="zh-CN"/>
        </w:rPr>
        <w:t xml:space="preserve">: Support </w:t>
      </w:r>
      <w:r>
        <w:rPr>
          <w:rFonts w:hint="default" w:ascii="Times New Roman Bold Italic" w:hAnsi="Times New Roman Bold Italic" w:cs="Times New Roman Bold Italic"/>
          <w:b/>
          <w:bCs/>
          <w:i/>
          <w:iCs/>
          <w:sz w:val="22"/>
          <w:szCs w:val="22"/>
          <w:lang w:eastAsia="zh-CN"/>
        </w:rPr>
        <w:t>dynamically allocate carriers as uplink-only, downlink-only, or full duplex based on traffic needs</w:t>
      </w:r>
      <w:r>
        <w:rPr>
          <w:rFonts w:hint="default" w:ascii="Times New Roman Bold Italic" w:hAnsi="Times New Roman Bold Italic" w:cs="Times New Roman Bold Italic"/>
          <w:b/>
          <w:bCs/>
          <w:i/>
          <w:iCs/>
          <w:sz w:val="22"/>
          <w:szCs w:val="22"/>
          <w:lang w:val="en-US" w:eastAsia="zh-CN"/>
        </w:rPr>
        <w:t xml:space="preserve"> or DRX/DTX configurations</w:t>
      </w:r>
      <w:r>
        <w:rPr>
          <w:rFonts w:hint="default" w:ascii="Times New Roman Bold Italic" w:hAnsi="Times New Roman Bold Italic" w:cs="Times New Roman Bold Italic"/>
          <w:b/>
          <w:bCs/>
          <w:i/>
          <w:iCs/>
          <w:sz w:val="22"/>
          <w:szCs w:val="22"/>
          <w:lang w:eastAsia="zh-CN"/>
        </w:rPr>
        <w:t xml:space="preserve">, </w:t>
      </w:r>
      <w:r>
        <w:rPr>
          <w:rFonts w:hint="eastAsia" w:ascii="Times New Roman Bold Italic" w:hAnsi="Times New Roman Bold Italic" w:cs="Times New Roman Bold Italic"/>
          <w:b/>
          <w:bCs/>
          <w:i/>
          <w:iCs/>
          <w:sz w:val="22"/>
          <w:szCs w:val="22"/>
          <w:lang w:val="en-US" w:eastAsia="zh-CN"/>
        </w:rPr>
        <w:t>maximizing</w:t>
      </w:r>
      <w:r>
        <w:rPr>
          <w:rFonts w:hint="default" w:ascii="Times New Roman Bold Italic" w:hAnsi="Times New Roman Bold Italic" w:cs="Times New Roman Bold Italic"/>
          <w:b/>
          <w:bCs/>
          <w:i/>
          <w:iCs/>
          <w:sz w:val="22"/>
          <w:szCs w:val="22"/>
          <w:lang w:eastAsia="zh-CN"/>
        </w:rPr>
        <w:t xml:space="preserve"> any unnecessary transmitters</w:t>
      </w:r>
      <w:r>
        <w:rPr>
          <w:rFonts w:hint="default" w:ascii="Times New Roman Bold Italic" w:hAnsi="Times New Roman Bold Italic" w:cs="Times New Roman Bold Italic"/>
          <w:b/>
          <w:bCs/>
          <w:i/>
          <w:iCs/>
          <w:sz w:val="22"/>
          <w:szCs w:val="22"/>
          <w:lang w:val="en-US" w:eastAsia="zh-CN"/>
        </w:rPr>
        <w:t>.</w:t>
      </w:r>
    </w:p>
    <w:p w14:paraId="2AC5BDCE">
      <w:pPr>
        <w:numPr>
          <w:ilvl w:val="0"/>
          <w:numId w:val="0"/>
        </w:numPr>
        <w:rPr>
          <w:rFonts w:hint="default"/>
          <w:lang w:val="en-US" w:eastAsia="zh-CN"/>
        </w:rPr>
      </w:pPr>
    </w:p>
    <w:p w14:paraId="06C2DF3A">
      <w:pPr>
        <w:pStyle w:val="4"/>
        <w:numPr>
          <w:ilvl w:val="1"/>
          <w:numId w:val="0"/>
        </w:numPr>
        <w:tabs>
          <w:tab w:val="clear" w:pos="720"/>
        </w:tabs>
        <w:ind w:leftChars="0"/>
        <w:outlineLvl w:val="2"/>
        <w:rPr>
          <w:rFonts w:hint="default"/>
          <w:b/>
          <w:bCs/>
          <w:lang w:val="en-US" w:eastAsia="zh-CN"/>
        </w:rPr>
      </w:pPr>
      <w:r>
        <w:rPr>
          <w:rFonts w:hint="eastAsia"/>
          <w:b/>
          <w:bCs/>
          <w:lang w:val="en-US" w:eastAsia="zh-CN"/>
        </w:rPr>
        <w:t xml:space="preserve">5.1.3 </w:t>
      </w:r>
      <w:r>
        <w:t>BS low-power radio / UL WUS</w:t>
      </w:r>
    </w:p>
    <w:p w14:paraId="2E188D4F">
      <w:pPr>
        <w:pStyle w:val="5"/>
        <w:rPr>
          <w:sz w:val="22"/>
          <w:szCs w:val="22"/>
        </w:rPr>
      </w:pPr>
      <w:r>
        <w:rPr>
          <w:sz w:val="22"/>
          <w:szCs w:val="22"/>
        </w:rPr>
        <w:t>To enable ultra-lean idle operatio</w:t>
      </w:r>
      <w:r>
        <w:rPr>
          <w:rFonts w:eastAsia="宋体"/>
          <w:sz w:val="22"/>
          <w:szCs w:val="22"/>
        </w:rPr>
        <w:t>n, a LPR</w:t>
      </w:r>
      <w:r>
        <w:rPr>
          <w:sz w:val="22"/>
          <w:szCs w:val="22"/>
        </w:rPr>
        <w:t xml:space="preserve"> architecture is considered at the base station. The LPR is an </w:t>
      </w:r>
      <w:r>
        <w:rPr>
          <w:i w:val="0"/>
          <w:iCs w:val="0"/>
          <w:sz w:val="22"/>
          <w:szCs w:val="22"/>
        </w:rPr>
        <w:t>auxiliary</w:t>
      </w:r>
      <w:r>
        <w:rPr>
          <w:sz w:val="22"/>
          <w:szCs w:val="22"/>
        </w:rPr>
        <w:t xml:space="preserve"> receiver circuit, designed with minimal bandwidth and processing, that remains active while the main BS radio chains are shut down. Its role is to </w:t>
      </w:r>
      <w:r>
        <w:rPr>
          <w:rFonts w:hint="default" w:ascii="Times New Roman" w:hAnsi="Times New Roman" w:cs="Times New Roman"/>
          <w:b w:val="0"/>
          <w:bCs w:val="0"/>
          <w:sz w:val="22"/>
          <w:szCs w:val="22"/>
        </w:rPr>
        <w:t>detect an UL-WUS</w:t>
      </w:r>
      <w:r>
        <w:rPr>
          <w:rFonts w:hint="default" w:ascii="Times New Roman" w:hAnsi="Times New Roman" w:cs="Times New Roman"/>
          <w:b w:val="0"/>
          <w:bCs w:val="0"/>
          <w:sz w:val="22"/>
          <w:szCs w:val="22"/>
          <w:lang w:val="en-US"/>
        </w:rPr>
        <w:t xml:space="preserve"> or other low-power signal</w:t>
      </w:r>
      <w:r>
        <w:rPr>
          <w:rFonts w:hint="default" w:ascii="Times New Roman" w:hAnsi="Times New Roman" w:cs="Times New Roman"/>
          <w:b w:val="0"/>
          <w:bCs w:val="0"/>
          <w:sz w:val="22"/>
          <w:szCs w:val="22"/>
        </w:rPr>
        <w:t xml:space="preserve"> transmitted by U</w:t>
      </w:r>
      <w:r>
        <w:rPr>
          <w:sz w:val="22"/>
          <w:szCs w:val="22"/>
        </w:rPr>
        <w:t>Es. When a UE needs to access a cell that is in a deep sleep state (e.g. no regular SSB/SIB being sent), it can send a short UL-WUS (for example, a special RA preamble) to notify the cell. The BS’s low-power receiver continuously “listens” for such wake-up signatures at a fraction of normal power consumption. Upon detecting a valid UL-WUS, the LPR triggers the dormant cell to wake up its primary RF chain and resume full service. Notably, wake-up receiver concepts were first introduced on the UE side in 5G-Advanced (allowing a device to sleep and only wake its main receiver upon a low-power signal). 6G extends this principle to the network:</w:t>
      </w:r>
      <w:r>
        <w:rPr>
          <w:rFonts w:eastAsia="宋体"/>
          <w:sz w:val="22"/>
          <w:szCs w:val="22"/>
        </w:rPr>
        <w:t xml:space="preserve"> bidirectional </w:t>
      </w:r>
      <w:r>
        <w:rPr>
          <w:sz w:val="22"/>
          <w:szCs w:val="22"/>
        </w:rPr>
        <w:t>wake-up signaling, including uplink WUS to awaken BSs, is envisioned to let both UEs and base stations stay in deep sleep until needed For instance, Rel-19 on-demand system information has already prototyped UE-initiated cell wake-up, where a UE transmits a WUS-like preamble to prompt a sleeping cell to broadcast SIB1</w:t>
      </w:r>
      <w:r>
        <w:rPr>
          <w:rFonts w:hint="default"/>
          <w:sz w:val="22"/>
          <w:szCs w:val="22"/>
          <w:lang w:val="en-US"/>
        </w:rPr>
        <w:t>[4][5]</w:t>
      </w:r>
      <w:r>
        <w:rPr>
          <w:sz w:val="22"/>
          <w:szCs w:val="22"/>
        </w:rPr>
        <w:t>.</w:t>
      </w:r>
    </w:p>
    <w:p w14:paraId="258A9CF6">
      <w:pPr>
        <w:pStyle w:val="5"/>
        <w:rPr>
          <w:sz w:val="22"/>
          <w:szCs w:val="22"/>
        </w:rPr>
      </w:pPr>
      <w:r>
        <w:rPr>
          <w:sz w:val="22"/>
          <w:szCs w:val="22"/>
        </w:rPr>
        <w:t xml:space="preserve">One deployment scenario for 6G is the separation of always-on </w:t>
      </w:r>
      <w:r>
        <w:rPr>
          <w:b w:val="0"/>
          <w:bCs w:val="0"/>
          <w:sz w:val="22"/>
          <w:szCs w:val="22"/>
        </w:rPr>
        <w:t xml:space="preserve">coverage </w:t>
      </w:r>
      <w:r>
        <w:rPr>
          <w:sz w:val="22"/>
          <w:szCs w:val="22"/>
        </w:rPr>
        <w:t xml:space="preserve">carriers from mostly-off </w:t>
      </w:r>
      <w:r>
        <w:rPr>
          <w:b w:val="0"/>
          <w:bCs w:val="0"/>
          <w:sz w:val="22"/>
          <w:szCs w:val="22"/>
        </w:rPr>
        <w:t xml:space="preserve">capacity </w:t>
      </w:r>
      <w:r>
        <w:rPr>
          <w:sz w:val="22"/>
          <w:szCs w:val="22"/>
        </w:rPr>
        <w:t xml:space="preserve">carriers. A “lightweight” anchor cell would handle indispensable signals (e.g. infrequent sync/paging) at low power, while adjacent capacity cells can transition to an ultra-deep sleep. In such a design, a sleeping cell’s LPR keeps monitoring its area for any UL-WUS from UEs. When a UE transmits a wake-up signal (either autonomously or instructed via an anchor), the target cell promptly powers up its main transceiver to serve the UE’s request. This </w:t>
      </w:r>
      <w:r>
        <w:rPr>
          <w:b w:val="0"/>
          <w:bCs w:val="0"/>
          <w:sz w:val="22"/>
          <w:szCs w:val="22"/>
        </w:rPr>
        <w:t>dynamic cell ON/OFF</w:t>
      </w:r>
      <w:r>
        <w:rPr>
          <w:sz w:val="22"/>
          <w:szCs w:val="22"/>
        </w:rPr>
        <w:t xml:space="preserve"> approach, with both network-initiated and UE-initiated wake-up, maximizes deep sleep periods of BS nodes without sacrificing user access on demand. Essentially, cells enter a dormant state free of regular transmissions, yet remain </w:t>
      </w:r>
      <w:r>
        <w:rPr>
          <w:b w:val="0"/>
          <w:bCs w:val="0"/>
          <w:sz w:val="22"/>
          <w:szCs w:val="22"/>
        </w:rPr>
        <w:t>immediately accessible</w:t>
      </w:r>
      <w:r>
        <w:rPr>
          <w:sz w:val="22"/>
          <w:szCs w:val="22"/>
        </w:rPr>
        <w:t xml:space="preserve"> via UL-WUS triggers.</w:t>
      </w:r>
    </w:p>
    <w:p w14:paraId="1B44479F">
      <w:pPr>
        <w:pStyle w:val="5"/>
        <w:rPr>
          <w:sz w:val="22"/>
          <w:szCs w:val="22"/>
        </w:rPr>
      </w:pPr>
      <w:r>
        <w:rPr>
          <w:sz w:val="22"/>
          <w:szCs w:val="22"/>
        </w:rPr>
        <w:t xml:space="preserve">To support such deep sleep operation, the base station may also employ a </w:t>
      </w:r>
      <w:r>
        <w:rPr>
          <w:b w:val="0"/>
          <w:bCs w:val="0"/>
          <w:sz w:val="22"/>
          <w:szCs w:val="22"/>
        </w:rPr>
        <w:t>Low-Power Transmitter (LPT)</w:t>
      </w:r>
      <w:r>
        <w:rPr>
          <w:sz w:val="22"/>
          <w:szCs w:val="22"/>
        </w:rPr>
        <w:t xml:space="preserve"> for essential downlink signaling during idle periods. An LPT is a pared-down transmitter chain (e.g. using a small number of antenna elements or a narrowband channel) that can broadcast minimal reference signals or wake-up beacons at greatly reduced power. By using only a subset of hardware for common signals, the BS’s idle-mode transmission power (and even its internal “sleep” power) can be </w:t>
      </w:r>
      <w:r>
        <w:rPr>
          <w:b w:val="0"/>
          <w:bCs w:val="0"/>
          <w:sz w:val="22"/>
          <w:szCs w:val="22"/>
        </w:rPr>
        <w:t>drastically reduced.</w:t>
      </w:r>
      <w:r>
        <w:rPr>
          <w:sz w:val="22"/>
          <w:szCs w:val="22"/>
        </w:rPr>
        <w:t xml:space="preserve"> For example, a cell might transmit synchronization or paging indicators using only a few antennas or at a lower frequency, just enough for UEs to detect coverage. The slight reduction in signal strength can be compensated by allowing UEs (especially those with wake-up receivers) to accumulate the weak signal energy over a longer time or request information on-demand. This </w:t>
      </w:r>
      <w:r>
        <w:rPr>
          <w:b w:val="0"/>
          <w:bCs w:val="0"/>
          <w:sz w:val="22"/>
          <w:szCs w:val="22"/>
        </w:rPr>
        <w:t xml:space="preserve">low-power broadcast layer </w:t>
      </w:r>
      <w:r>
        <w:rPr>
          <w:sz w:val="22"/>
          <w:szCs w:val="22"/>
        </w:rPr>
        <w:t>ensures that UEs can still discover and monitor a cell in sleep mode, while the main high-power transmitter remains off. In effect, the BS only transmits when needed, which aligns with 6G’s goal of eliminating needless always-on transmissions. Industry proposals indeed envision combining low-power BS signaling with ultra-low-power UE receivers as a win-win for energy saving on both sides – maintaining coverage and mobility support with minimal active energy.</w:t>
      </w:r>
    </w:p>
    <w:p w14:paraId="79C6932E">
      <w:pPr>
        <w:pStyle w:val="5"/>
        <w:rPr>
          <w:sz w:val="22"/>
          <w:szCs w:val="22"/>
        </w:rPr>
      </w:pPr>
      <w:r>
        <w:rPr>
          <w:sz w:val="22"/>
          <w:szCs w:val="22"/>
        </w:rPr>
        <w:t xml:space="preserve">The LPR/LPT architecture enables the BS to enter </w:t>
      </w:r>
      <w:r>
        <w:rPr>
          <w:b w:val="0"/>
          <w:bCs w:val="0"/>
          <w:sz w:val="22"/>
          <w:szCs w:val="22"/>
        </w:rPr>
        <w:t>ultra-deep sleep states</w:t>
      </w:r>
      <w:r>
        <w:rPr>
          <w:sz w:val="22"/>
          <w:szCs w:val="22"/>
        </w:rPr>
        <w:t xml:space="preserve"> that were not attainable in 5G. In deep sleep, nearly all radio chains (RF front-ends, large antenna arrays, and baseband processing units) are completely shut off. Only a tiny fraction of hardware (the LPR module and perhaps a control timer) stays powered. Because the LPR is highly optimized for low power (an </w:t>
      </w:r>
      <w:r>
        <w:rPr>
          <w:i w:val="0"/>
          <w:iCs w:val="0"/>
          <w:sz w:val="22"/>
          <w:szCs w:val="22"/>
        </w:rPr>
        <w:t>energy-detection based receiver</w:t>
      </w:r>
      <w:r>
        <w:rPr>
          <w:sz w:val="22"/>
          <w:szCs w:val="22"/>
        </w:rPr>
        <w:t xml:space="preserve"> consuming an order of magnitude less power than a full NR receiver), the base station’s baseline power usage in idle periods plummets. The main radio is </w:t>
      </w:r>
      <w:r>
        <w:rPr>
          <w:b w:val="0"/>
          <w:bCs w:val="0"/>
          <w:sz w:val="22"/>
          <w:szCs w:val="22"/>
        </w:rPr>
        <w:t>selectively activated</w:t>
      </w:r>
      <w:r>
        <w:rPr>
          <w:sz w:val="22"/>
          <w:szCs w:val="22"/>
        </w:rPr>
        <w:t xml:space="preserve"> only when a wake-up is triggered or when the network schedules an active period. This on-demand activation of the heavy RF chain ensures the BS power draw closely follows actual traffic – when there is no user activity, power consumption is near zero, yet the cell can be rapidly re-activated. Such capability addresses the </w:t>
      </w:r>
      <w:r>
        <w:rPr>
          <w:i w:val="0"/>
          <w:iCs w:val="0"/>
          <w:sz w:val="22"/>
          <w:szCs w:val="22"/>
        </w:rPr>
        <w:t xml:space="preserve">dominating energy cost </w:t>
      </w:r>
      <w:r>
        <w:rPr>
          <w:sz w:val="22"/>
          <w:szCs w:val="22"/>
        </w:rPr>
        <w:t xml:space="preserve">of providing area coverage in today’s networks. From a feasibility standpoint, advancements in RFIC design and 6G air-interface flexibility make these auxiliary low-power modules practical. Indeed, several vendors and research teams have identified BS-side wake-up receivers and on-demand signals as key enablers for 6G green networks. </w:t>
      </w:r>
    </w:p>
    <w:p w14:paraId="3DD64433">
      <w:pPr>
        <w:pStyle w:val="86"/>
        <w:numPr>
          <w:ilvl w:val="0"/>
          <w:numId w:val="0"/>
        </w:numPr>
        <w:rPr>
          <w:rFonts w:hint="default" w:ascii="Times New Roman Bold Italic" w:hAnsi="Times New Roman Bold Italic" w:eastAsia="宋体" w:cs="Times New Roman Bold Italic"/>
          <w:b/>
          <w:bCs/>
          <w:i/>
          <w:iCs/>
          <w:sz w:val="22"/>
          <w:szCs w:val="22"/>
          <w:lang w:val="en-US" w:eastAsia="zh-CN"/>
        </w:rPr>
      </w:pPr>
      <w:r>
        <w:rPr>
          <w:rFonts w:hint="default" w:ascii="Times New Roman Bold Italic" w:hAnsi="Times New Roman Bold Italic" w:cs="Times New Roman Bold Italic"/>
          <w:b/>
          <w:bCs/>
          <w:i/>
          <w:iCs/>
          <w:sz w:val="22"/>
          <w:szCs w:val="22"/>
        </w:rPr>
        <w:t xml:space="preserve">Observation </w:t>
      </w:r>
      <w:r>
        <w:rPr>
          <w:rFonts w:hint="eastAsia" w:ascii="Times New Roman Bold Italic" w:hAnsi="Times New Roman Bold Italic" w:cs="Times New Roman Bold Italic"/>
          <w:b/>
          <w:bCs/>
          <w:i/>
          <w:iCs/>
          <w:sz w:val="22"/>
          <w:szCs w:val="22"/>
          <w:lang w:val="en-US" w:eastAsia="zh-CN"/>
        </w:rPr>
        <w:t>27</w:t>
      </w:r>
      <w:r>
        <w:rPr>
          <w:rFonts w:hint="default" w:ascii="Times New Roman Bold Italic" w:hAnsi="Times New Roman Bold Italic" w:cs="Times New Roman Bold Italic"/>
          <w:b/>
          <w:bCs/>
          <w:i/>
          <w:iCs/>
          <w:sz w:val="22"/>
          <w:szCs w:val="22"/>
        </w:rPr>
        <w:t xml:space="preserve">: A BS low-power receiver enables ultra-deep sleep by detecting </w:t>
      </w:r>
      <w:r>
        <w:rPr>
          <w:rFonts w:hint="default" w:ascii="Times New Roman Bold Italic" w:hAnsi="Times New Roman Bold Italic" w:cs="Times New Roman Bold Italic"/>
          <w:b/>
          <w:bCs/>
          <w:i/>
          <w:iCs/>
          <w:sz w:val="22"/>
          <w:szCs w:val="22"/>
          <w:lang w:val="en-US"/>
        </w:rPr>
        <w:t>UL-WUS</w:t>
      </w:r>
      <w:r>
        <w:rPr>
          <w:rFonts w:hint="default" w:ascii="Times New Roman Bold Italic" w:hAnsi="Times New Roman Bold Italic" w:cs="Times New Roman Bold Italic"/>
          <w:b/>
          <w:bCs/>
          <w:i/>
          <w:iCs/>
          <w:sz w:val="22"/>
          <w:szCs w:val="22"/>
        </w:rPr>
        <w:t>, drastically reducing idle-period energy consumption</w:t>
      </w:r>
      <w:r>
        <w:rPr>
          <w:rFonts w:hint="default" w:ascii="Times New Roman Bold Italic" w:hAnsi="Times New Roman Bold Italic" w:cs="Times New Roman Bold Italic"/>
          <w:b/>
          <w:bCs/>
          <w:i/>
          <w:iCs/>
          <w:sz w:val="22"/>
          <w:szCs w:val="22"/>
          <w:lang w:val="en-US"/>
        </w:rPr>
        <w:t>.</w:t>
      </w:r>
    </w:p>
    <w:p w14:paraId="3D1C1A1D">
      <w:pPr>
        <w:pStyle w:val="86"/>
        <w:numPr>
          <w:ilvl w:val="0"/>
          <w:numId w:val="0"/>
        </w:numPr>
        <w:rPr>
          <w:rFonts w:hint="default" w:ascii="Times New Roman Bold Italic" w:hAnsi="Times New Roman Bold Italic" w:cs="Times New Roman Bold Italic"/>
          <w:b/>
          <w:bCs/>
          <w:i/>
          <w:iCs/>
          <w:sz w:val="22"/>
          <w:szCs w:val="22"/>
        </w:rPr>
      </w:pPr>
    </w:p>
    <w:p w14:paraId="6DF25780">
      <w:pPr>
        <w:pStyle w:val="86"/>
        <w:numPr>
          <w:ilvl w:val="0"/>
          <w:numId w:val="0"/>
        </w:numPr>
        <w:rPr>
          <w:rFonts w:hint="default" w:ascii="Times New Roman Bold Italic" w:hAnsi="Times New Roman Bold Italic" w:cs="Times New Roman Bold Italic"/>
          <w:b/>
          <w:bCs/>
          <w:i/>
          <w:iCs/>
          <w:sz w:val="22"/>
          <w:szCs w:val="22"/>
        </w:rPr>
      </w:pPr>
      <w:r>
        <w:rPr>
          <w:rFonts w:hint="default" w:ascii="Times New Roman Bold Italic" w:hAnsi="Times New Roman Bold Italic" w:cs="Times New Roman Bold Italic"/>
          <w:b/>
          <w:bCs/>
          <w:i/>
          <w:iCs/>
          <w:sz w:val="22"/>
          <w:szCs w:val="22"/>
        </w:rPr>
        <w:t xml:space="preserve">Observation </w:t>
      </w:r>
      <w:r>
        <w:rPr>
          <w:rFonts w:hint="eastAsia" w:ascii="Times New Roman Bold Italic" w:hAnsi="Times New Roman Bold Italic" w:cs="Times New Roman Bold Italic"/>
          <w:b/>
          <w:bCs/>
          <w:i/>
          <w:iCs/>
          <w:sz w:val="22"/>
          <w:szCs w:val="22"/>
          <w:lang w:val="en-US" w:eastAsia="zh-CN"/>
        </w:rPr>
        <w:t>28</w:t>
      </w:r>
      <w:r>
        <w:rPr>
          <w:rFonts w:hint="default" w:ascii="Times New Roman Bold Italic" w:hAnsi="Times New Roman Bold Italic" w:cs="Times New Roman Bold Italic"/>
          <w:b/>
          <w:bCs/>
          <w:i/>
          <w:iCs/>
          <w:sz w:val="22"/>
          <w:szCs w:val="22"/>
        </w:rPr>
        <w:t>: Low-power BS transmissions (e.g. sparse sync beacons) coupled with UE wake-up receivers can preserve coverage and mobility while main radio chains remain off.</w:t>
      </w:r>
    </w:p>
    <w:p w14:paraId="760CBDB3">
      <w:pPr>
        <w:pStyle w:val="86"/>
        <w:numPr>
          <w:ilvl w:val="0"/>
          <w:numId w:val="0"/>
        </w:numPr>
        <w:rPr>
          <w:rFonts w:hint="default" w:ascii="Times New Roman Bold Italic" w:hAnsi="Times New Roman Bold Italic" w:cs="Times New Roman Bold Italic"/>
          <w:b/>
          <w:bCs/>
          <w:i/>
          <w:iCs/>
          <w:sz w:val="22"/>
          <w:szCs w:val="22"/>
        </w:rPr>
      </w:pPr>
    </w:p>
    <w:p w14:paraId="5E0313D7">
      <w:pPr>
        <w:pStyle w:val="86"/>
        <w:numPr>
          <w:ilvl w:val="0"/>
          <w:numId w:val="0"/>
        </w:numPr>
        <w:rPr>
          <w:rFonts w:hint="default" w:ascii="Times New Roman Bold Italic" w:hAnsi="Times New Roman Bold Italic" w:cs="Times New Roman Bold Italic"/>
          <w:b/>
          <w:bCs/>
          <w:i/>
          <w:iCs/>
          <w:sz w:val="22"/>
          <w:szCs w:val="22"/>
          <w:lang w:val="en-US"/>
        </w:rPr>
      </w:pPr>
      <w:r>
        <w:rPr>
          <w:rFonts w:hint="default" w:ascii="Times New Roman Bold Italic" w:hAnsi="Times New Roman Bold Italic" w:cs="Times New Roman Bold Italic"/>
          <w:b/>
          <w:bCs/>
          <w:i/>
          <w:iCs/>
          <w:sz w:val="22"/>
          <w:szCs w:val="22"/>
          <w:lang w:val="en-US"/>
        </w:rPr>
        <w:t xml:space="preserve">Proposal </w:t>
      </w:r>
      <w:r>
        <w:rPr>
          <w:rFonts w:hint="eastAsia" w:ascii="Times New Roman Bold Italic" w:hAnsi="Times New Roman Bold Italic" w:cs="Times New Roman Bold Italic"/>
          <w:b/>
          <w:bCs/>
          <w:i/>
          <w:iCs/>
          <w:sz w:val="22"/>
          <w:szCs w:val="22"/>
          <w:lang w:val="en-US" w:eastAsia="zh-CN"/>
        </w:rPr>
        <w:t>26</w:t>
      </w:r>
      <w:r>
        <w:rPr>
          <w:rFonts w:hint="default" w:ascii="Times New Roman Bold Italic" w:hAnsi="Times New Roman Bold Italic" w:cs="Times New Roman Bold Italic"/>
          <w:b/>
          <w:bCs/>
          <w:i/>
          <w:iCs/>
          <w:sz w:val="22"/>
          <w:szCs w:val="22"/>
          <w:lang w:val="en-US"/>
        </w:rPr>
        <w:t xml:space="preserve">: Consider whether/how to study </w:t>
      </w:r>
      <w:r>
        <w:rPr>
          <w:rFonts w:hint="default" w:ascii="Times New Roman Bold Italic" w:hAnsi="Times New Roman Bold Italic" w:cs="Times New Roman Bold Italic"/>
          <w:b/>
          <w:bCs/>
          <w:i/>
          <w:iCs/>
          <w:sz w:val="22"/>
          <w:szCs w:val="22"/>
        </w:rPr>
        <w:t>BS-side low-power RX/TX architecture as a native 6G energy-saving mechanism</w:t>
      </w:r>
      <w:r>
        <w:rPr>
          <w:rFonts w:hint="default" w:ascii="Times New Roman Bold Italic" w:hAnsi="Times New Roman Bold Italic" w:cs="Times New Roman Bold Italic"/>
          <w:b/>
          <w:bCs/>
          <w:i/>
          <w:iCs/>
          <w:sz w:val="22"/>
          <w:szCs w:val="22"/>
          <w:lang w:val="en-US"/>
        </w:rPr>
        <w:t>.</w:t>
      </w:r>
    </w:p>
    <w:p w14:paraId="4F5FD8E3">
      <w:pPr>
        <w:pStyle w:val="86"/>
        <w:numPr>
          <w:ilvl w:val="0"/>
          <w:numId w:val="0"/>
        </w:numPr>
        <w:rPr>
          <w:rFonts w:hint="default" w:ascii="Times New Roman Bold Italic" w:hAnsi="Times New Roman Bold Italic" w:cs="Times New Roman Bold Italic"/>
          <w:b/>
          <w:bCs/>
          <w:i/>
          <w:iCs/>
          <w:sz w:val="22"/>
          <w:szCs w:val="22"/>
          <w:lang w:val="en-US"/>
        </w:rPr>
      </w:pPr>
    </w:p>
    <w:p w14:paraId="2470D8DD">
      <w:pPr>
        <w:pStyle w:val="86"/>
        <w:numPr>
          <w:ilvl w:val="0"/>
          <w:numId w:val="0"/>
        </w:numPr>
        <w:rPr>
          <w:rFonts w:hint="default" w:ascii="Times New Roman Bold Italic" w:hAnsi="Times New Roman Bold Italic" w:cs="Times New Roman Bold Italic"/>
          <w:b/>
          <w:bCs/>
          <w:i/>
          <w:iCs/>
          <w:sz w:val="22"/>
          <w:szCs w:val="22"/>
          <w:lang w:val="en-US"/>
        </w:rPr>
      </w:pPr>
      <w:r>
        <w:rPr>
          <w:rFonts w:hint="default" w:ascii="Times New Roman Bold Italic" w:hAnsi="Times New Roman Bold Italic" w:cs="Times New Roman Bold Italic"/>
          <w:b/>
          <w:bCs/>
          <w:i/>
          <w:iCs/>
          <w:sz w:val="22"/>
          <w:szCs w:val="22"/>
          <w:lang w:val="en-US"/>
        </w:rPr>
        <w:t xml:space="preserve">Proposal </w:t>
      </w:r>
      <w:r>
        <w:rPr>
          <w:rFonts w:hint="eastAsia" w:ascii="Times New Roman Bold Italic" w:hAnsi="Times New Roman Bold Italic" w:cs="Times New Roman Bold Italic"/>
          <w:b/>
          <w:bCs/>
          <w:i/>
          <w:iCs/>
          <w:sz w:val="22"/>
          <w:szCs w:val="22"/>
          <w:lang w:val="en-US" w:eastAsia="zh-CN"/>
        </w:rPr>
        <w:t>27</w:t>
      </w:r>
      <w:r>
        <w:rPr>
          <w:rFonts w:hint="default" w:ascii="Times New Roman Bold Italic" w:hAnsi="Times New Roman Bold Italic" w:cs="Times New Roman Bold Italic"/>
          <w:b/>
          <w:bCs/>
          <w:i/>
          <w:iCs/>
          <w:sz w:val="22"/>
          <w:szCs w:val="22"/>
          <w:lang w:val="en-US"/>
        </w:rPr>
        <w:t>: Consider UL-WUS design as a native 6G energy-saving mechanism, with some of challenges like interference, reliable detection (across FR1–FR3), and coordination with DRX/dormant cell operation.</w:t>
      </w:r>
    </w:p>
    <w:p w14:paraId="017B2522">
      <w:pPr>
        <w:rPr>
          <w:lang w:eastAsia="zh-CN"/>
        </w:rPr>
      </w:pPr>
    </w:p>
    <w:p w14:paraId="7ACB1D3D">
      <w:pPr>
        <w:pStyle w:val="3"/>
        <w:numPr>
          <w:ilvl w:val="1"/>
          <w:numId w:val="0"/>
        </w:numPr>
        <w:tabs>
          <w:tab w:val="clear" w:pos="576"/>
        </w:tabs>
        <w:ind w:leftChars="0"/>
        <w:rPr>
          <w:lang w:eastAsia="zh-CN"/>
        </w:rPr>
      </w:pPr>
      <w:r>
        <w:rPr>
          <w:rFonts w:hint="eastAsia"/>
          <w:lang w:val="en-US" w:eastAsia="zh-CN"/>
        </w:rPr>
        <w:t>5.2</w:t>
      </w:r>
      <w:r>
        <w:rPr>
          <w:lang w:eastAsia="zh-CN"/>
        </w:rPr>
        <w:t xml:space="preserve"> UE level related 6GR</w:t>
      </w:r>
      <w:r>
        <w:rPr>
          <w:rFonts w:hint="eastAsia"/>
          <w:lang w:eastAsia="zh-CN"/>
        </w:rPr>
        <w:t xml:space="preserve"> </w:t>
      </w:r>
      <w:r>
        <w:rPr>
          <w:lang w:eastAsia="zh-CN"/>
        </w:rPr>
        <w:t xml:space="preserve">EE  technologies </w:t>
      </w:r>
    </w:p>
    <w:p w14:paraId="5E8268B9">
      <w:pPr>
        <w:pStyle w:val="4"/>
        <w:numPr>
          <w:ilvl w:val="2"/>
          <w:numId w:val="0"/>
        </w:numPr>
        <w:tabs>
          <w:tab w:val="clear" w:pos="720"/>
        </w:tabs>
        <w:ind w:leftChars="0"/>
        <w:outlineLvl w:val="2"/>
        <w:rPr>
          <w:lang w:eastAsia="zh-CN"/>
        </w:rPr>
      </w:pPr>
      <w:r>
        <w:rPr>
          <w:rFonts w:hint="eastAsia"/>
          <w:lang w:val="en-US" w:eastAsia="zh-CN"/>
        </w:rPr>
        <w:t xml:space="preserve">5.2.1 </w:t>
      </w:r>
      <w:r>
        <w:rPr>
          <w:lang w:eastAsia="zh-CN"/>
        </w:rPr>
        <w:t>PDCCH monitoring</w:t>
      </w:r>
      <w:r>
        <w:rPr>
          <w:rFonts w:hint="eastAsia"/>
          <w:lang w:val="en-US" w:eastAsia="zh-CN"/>
        </w:rPr>
        <w:t xml:space="preserve"> </w:t>
      </w:r>
    </w:p>
    <w:p w14:paraId="0D981981">
      <w:pPr>
        <w:rPr>
          <w:lang w:eastAsia="zh-CN"/>
        </w:rPr>
      </w:pPr>
      <w:r>
        <w:rPr>
          <w:lang w:eastAsia="zh-CN"/>
        </w:rPr>
        <w:t xml:space="preserve">PDCCH monitoring reduction is vital for UE energy saving. In 5G, UEs often monitor PDCCH in every slot or multiple times per frame, which is power-expensive. Smarter PDCCH scheduling such as: only waking the UE’s PDCCH receiver when there is likely to be a grant (perhaps indicated by a short paging-like signal), or PDCCH skipping where the network guarantees no DL control in certain frames so UEs can sleep in RAN1 companies’ Tdoc in lasting meeting, ideas like restricting the CORESET and using “search space set switching” (as in NR SSS/CORESET sets) are raised to minimize how long UEs have to stay alert for control. The scheduler plays a role by possibly scheduling multiple data transmissions under one control instance (one PDCCH may grant a burst of several packets or a longer transmission duration). Additionally, if the network has no data for a UE, it could omit sending any PDCCH (whereas today a UE still has to monitor to be sure). </w:t>
      </w:r>
    </w:p>
    <w:p w14:paraId="504232F2">
      <w:pPr>
        <w:rPr>
          <w:rFonts w:hint="default"/>
          <w:lang w:val="en-US" w:eastAsia="zh-CN"/>
        </w:rPr>
      </w:pPr>
      <w:r>
        <w:rPr>
          <w:rFonts w:hint="default"/>
          <w:lang w:val="en-US" w:eastAsia="zh-CN"/>
        </w:rPr>
        <w:t xml:space="preserve">As we know, the difference of power saving gain for SSSG or PDCCH skipping depends on scenarios considering. From NR perspective, if setting up same parameters and considering same scenario, no </w:t>
      </w:r>
      <w:r>
        <w:rPr>
          <w:rFonts w:hint="eastAsia"/>
          <w:lang w:val="en-US" w:eastAsia="zh-CN"/>
        </w:rPr>
        <w:t>significant</w:t>
      </w:r>
      <w:r>
        <w:rPr>
          <w:rFonts w:hint="default"/>
          <w:lang w:val="en-US" w:eastAsia="zh-CN"/>
        </w:rPr>
        <w:t xml:space="preserve"> gain for power savings could be discovered for SSSG or PDCCH skipping schemes. </w:t>
      </w:r>
    </w:p>
    <w:p w14:paraId="1769C275">
      <w:pPr>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 xml:space="preserve">Observation </w:t>
      </w:r>
      <w:r>
        <w:rPr>
          <w:rFonts w:hint="eastAsia" w:ascii="Times New Roman Bold Italic" w:hAnsi="Times New Roman Bold Italic" w:cs="Times New Roman Bold Italic"/>
          <w:b/>
          <w:bCs/>
          <w:i/>
          <w:iCs/>
          <w:lang w:val="en-US" w:eastAsia="zh-CN"/>
        </w:rPr>
        <w:t>29</w:t>
      </w:r>
      <w:r>
        <w:rPr>
          <w:rFonts w:hint="default" w:ascii="Times New Roman Bold Italic" w:hAnsi="Times New Roman Bold Italic" w:cs="Times New Roman Bold Italic"/>
          <w:b/>
          <w:bCs/>
          <w:i/>
          <w:iCs/>
          <w:lang w:val="en-US" w:eastAsia="zh-CN"/>
        </w:rPr>
        <w:t xml:space="preserve">: If setting up same parameters and considering same scenario, no significant </w:t>
      </w:r>
      <w:r>
        <w:rPr>
          <w:rFonts w:hint="eastAsia" w:ascii="Times New Roman Bold Italic" w:hAnsi="Times New Roman Bold Italic" w:cs="Times New Roman Bold Italic"/>
          <w:b/>
          <w:bCs/>
          <w:i/>
          <w:iCs/>
          <w:lang w:val="en-US" w:eastAsia="zh-CN"/>
        </w:rPr>
        <w:t>difference</w:t>
      </w:r>
      <w:r>
        <w:rPr>
          <w:rFonts w:hint="default" w:ascii="Times New Roman Bold Italic" w:hAnsi="Times New Roman Bold Italic" w:cs="Times New Roman Bold Italic"/>
          <w:b/>
          <w:bCs/>
          <w:i/>
          <w:iCs/>
          <w:lang w:val="en-US" w:eastAsia="zh-CN"/>
        </w:rPr>
        <w:t xml:space="preserve"> for power saving</w:t>
      </w:r>
      <w:r>
        <w:rPr>
          <w:rFonts w:hint="eastAsia" w:ascii="Times New Roman Bold Italic" w:hAnsi="Times New Roman Bold Italic" w:cs="Times New Roman Bold Italic"/>
          <w:b/>
          <w:bCs/>
          <w:i/>
          <w:iCs/>
          <w:lang w:val="en-US" w:eastAsia="zh-CN"/>
        </w:rPr>
        <w:t xml:space="preserve"> gain</w:t>
      </w:r>
      <w:r>
        <w:rPr>
          <w:rFonts w:hint="default" w:ascii="Times New Roman Bold Italic" w:hAnsi="Times New Roman Bold Italic" w:cs="Times New Roman Bold Italic"/>
          <w:b/>
          <w:bCs/>
          <w:i/>
          <w:iCs/>
          <w:lang w:val="en-US" w:eastAsia="zh-CN"/>
        </w:rPr>
        <w:t xml:space="preserve"> could be discovered </w:t>
      </w:r>
      <w:r>
        <w:rPr>
          <w:rFonts w:hint="eastAsia" w:ascii="Times New Roman Bold Italic" w:hAnsi="Times New Roman Bold Italic" w:cs="Times New Roman Bold Italic"/>
          <w:b/>
          <w:bCs/>
          <w:i/>
          <w:iCs/>
          <w:lang w:val="en-US" w:eastAsia="zh-CN"/>
        </w:rPr>
        <w:t xml:space="preserve">between </w:t>
      </w:r>
      <w:r>
        <w:rPr>
          <w:rFonts w:hint="default" w:ascii="Times New Roman Bold Italic" w:hAnsi="Times New Roman Bold Italic" w:cs="Times New Roman Bold Italic"/>
          <w:b/>
          <w:bCs/>
          <w:i/>
          <w:iCs/>
          <w:lang w:val="en-US" w:eastAsia="zh-CN"/>
        </w:rPr>
        <w:t xml:space="preserve">SSSG switching </w:t>
      </w:r>
      <w:r>
        <w:rPr>
          <w:rFonts w:hint="eastAsia" w:ascii="Times New Roman Bold Italic" w:hAnsi="Times New Roman Bold Italic" w:cs="Times New Roman Bold Italic"/>
          <w:b/>
          <w:bCs/>
          <w:i/>
          <w:iCs/>
          <w:lang w:val="en-US" w:eastAsia="zh-CN"/>
        </w:rPr>
        <w:t>and</w:t>
      </w:r>
      <w:r>
        <w:rPr>
          <w:rFonts w:hint="default" w:ascii="Times New Roman Bold Italic" w:hAnsi="Times New Roman Bold Italic" w:cs="Times New Roman Bold Italic"/>
          <w:b/>
          <w:bCs/>
          <w:i/>
          <w:iCs/>
          <w:lang w:val="en-US" w:eastAsia="zh-CN"/>
        </w:rPr>
        <w:t xml:space="preserve"> PDCCH skipping schemes. </w:t>
      </w:r>
    </w:p>
    <w:p w14:paraId="008897E2">
      <w:pPr>
        <w:rPr>
          <w:lang w:eastAsia="zh-CN"/>
        </w:rPr>
      </w:pPr>
      <w:r>
        <w:rPr>
          <w:lang w:eastAsia="zh-CN"/>
        </w:rPr>
        <w:t xml:space="preserve">Another aspect is decoupling RF and baseband activity during scheduling. For instance, when no data is scheduled, parts of the transceiver chain (like high-power RF amplifiers) can be shut off, while baseband might still decode minimal information (or vice versa). Scheduling strategies that cluster activity allow this decoupling – e.g. the RF front-end can entirely power down in an “off” slot if no transmission for any UE is scheduled, rather than toggling rapidly every slot. </w:t>
      </w:r>
    </w:p>
    <w:p w14:paraId="2A68CBA3">
      <w:pPr>
        <w:rPr>
          <w:rFonts w:hint="eastAsia" w:ascii="Times New Roman Bold Italic" w:hAnsi="Times New Roman Bold Italic" w:cs="Times New Roman Bold Italic"/>
          <w:b/>
          <w:bCs/>
          <w:i/>
          <w:iCs/>
          <w:lang w:val="en-US" w:eastAsia="zh-CN"/>
        </w:rPr>
      </w:pPr>
      <w:r>
        <w:rPr>
          <w:lang w:eastAsia="zh-CN"/>
        </w:rPr>
        <w:t>Moreover, avoiding “late changes” to uplink grants is highlighted. If the network schedules an uplink and then cancels or reschedules it last-minute, the UE may have already ramped up its transmitter and clock circuits, wasting energy. Thus, an energy-aware scheduler is predictable and stable: it doesn’t frequently revoke grants or ask UEs to re-tune at the last second.</w:t>
      </w:r>
      <w:r>
        <w:rPr>
          <w:rFonts w:hint="eastAsia"/>
          <w:lang w:val="en-US" w:eastAsia="zh-CN"/>
        </w:rPr>
        <w:t xml:space="preserve"> One </w:t>
      </w:r>
      <w:r>
        <w:rPr>
          <w:rFonts w:hint="default"/>
          <w:lang w:val="en-US" w:eastAsia="zh-CN"/>
        </w:rPr>
        <w:t>of effective methods is to consider two-stages CORESET or search space.</w:t>
      </w:r>
    </w:p>
    <w:p w14:paraId="6469206E">
      <w:pPr>
        <w:rPr>
          <w:rFonts w:hint="default" w:ascii="Times New Roman Bold Italic" w:hAnsi="Times New Roman Bold Italic" w:cs="Times New Roman Bold Italic"/>
          <w:b/>
          <w:bCs/>
          <w:i/>
          <w:iCs/>
          <w:lang w:val="en-US" w:eastAsia="zh-CN"/>
        </w:rPr>
      </w:pPr>
      <w:r>
        <w:rPr>
          <w:rFonts w:hint="eastAsia" w:ascii="Times New Roman Bold Italic" w:hAnsi="Times New Roman Bold Italic" w:cs="Times New Roman Bold Italic"/>
          <w:b/>
          <w:bCs/>
          <w:i/>
          <w:iCs/>
          <w:lang w:val="en-US" w:eastAsia="zh-CN"/>
        </w:rPr>
        <w:t>Proposal 28</w:t>
      </w:r>
      <w:r>
        <w:rPr>
          <w:rFonts w:hint="default" w:ascii="Times New Roman Bold Italic" w:hAnsi="Times New Roman Bold Italic" w:cs="Times New Roman Bold Italic"/>
          <w:b/>
          <w:bCs/>
          <w:i/>
          <w:iCs/>
          <w:lang w:val="en-US" w:eastAsia="zh-CN"/>
        </w:rPr>
        <w:t xml:space="preserve">: Study potential </w:t>
      </w:r>
      <w:r>
        <w:rPr>
          <w:rFonts w:hint="eastAsia" w:ascii="Times New Roman Bold Italic" w:hAnsi="Times New Roman Bold Italic" w:cs="Times New Roman Bold Italic"/>
          <w:b/>
          <w:bCs/>
          <w:i/>
          <w:iCs/>
          <w:lang w:val="en-US" w:eastAsia="zh-CN"/>
        </w:rPr>
        <w:t xml:space="preserve">schemes </w:t>
      </w:r>
      <w:r>
        <w:rPr>
          <w:rFonts w:hint="default" w:ascii="Times New Roman Bold Italic" w:hAnsi="Times New Roman Bold Italic" w:cs="Times New Roman Bold Italic"/>
          <w:b/>
          <w:bCs/>
          <w:i/>
          <w:iCs/>
          <w:lang w:val="en-US" w:eastAsia="zh-CN"/>
        </w:rPr>
        <w:t xml:space="preserve">to reduce unnecessary PDCCH monitoring and monitoring complexity in 6GR EE topic, at least including SSSG switching, PDCCH skipping, WUS (LP-WUS or PEI), etc. </w:t>
      </w:r>
    </w:p>
    <w:p w14:paraId="68A2D795">
      <w:pPr>
        <w:rPr>
          <w:rFonts w:hint="default"/>
          <w:lang w:val="en-US" w:eastAsia="zh-CN"/>
        </w:rPr>
      </w:pPr>
      <w:r>
        <w:rPr>
          <w:rFonts w:hint="default" w:ascii="Times New Roman Bold Italic" w:hAnsi="Times New Roman Bold Italic" w:cs="Times New Roman Bold Italic"/>
          <w:b/>
          <w:bCs/>
          <w:i/>
          <w:iCs/>
          <w:lang w:val="en-US" w:eastAsia="zh-CN"/>
        </w:rPr>
        <w:t xml:space="preserve">Proposal </w:t>
      </w:r>
      <w:r>
        <w:rPr>
          <w:rFonts w:hint="eastAsia" w:ascii="Times New Roman Bold Italic" w:hAnsi="Times New Roman Bold Italic" w:cs="Times New Roman Bold Italic"/>
          <w:b/>
          <w:bCs/>
          <w:i/>
          <w:iCs/>
          <w:lang w:val="en-US" w:eastAsia="zh-CN"/>
        </w:rPr>
        <w:t>29</w:t>
      </w:r>
      <w:r>
        <w:rPr>
          <w:rFonts w:hint="default" w:ascii="Times New Roman Bold Italic" w:hAnsi="Times New Roman Bold Italic" w:cs="Times New Roman Bold Italic"/>
          <w:b/>
          <w:bCs/>
          <w:i/>
          <w:iCs/>
          <w:lang w:val="en-US" w:eastAsia="zh-CN"/>
        </w:rPr>
        <w:t>: Study whether/how to consider indication of PDCCH occasion count or how to reduce the number of blind decoding or whether/how to design two-stages CORESET/search space with on-demand requeirement.</w:t>
      </w:r>
    </w:p>
    <w:p w14:paraId="205B4D65">
      <w:pPr>
        <w:rPr>
          <w:lang w:eastAsia="zh-CN"/>
        </w:rPr>
      </w:pPr>
    </w:p>
    <w:p w14:paraId="7BD38006">
      <w:pPr>
        <w:pStyle w:val="4"/>
        <w:numPr>
          <w:ilvl w:val="2"/>
          <w:numId w:val="0"/>
        </w:numPr>
        <w:tabs>
          <w:tab w:val="clear" w:pos="720"/>
        </w:tabs>
        <w:ind w:leftChars="0"/>
        <w:outlineLvl w:val="2"/>
        <w:rPr>
          <w:rFonts w:hint="default"/>
          <w:lang w:val="en-US" w:eastAsia="zh-TW"/>
        </w:rPr>
      </w:pPr>
      <w:r>
        <w:rPr>
          <w:rFonts w:hint="default"/>
          <w:lang w:val="en-US" w:eastAsia="zh-CN"/>
        </w:rPr>
        <w:t xml:space="preserve">5.2.2 </w:t>
      </w:r>
      <w:r>
        <w:rPr>
          <w:lang w:eastAsia="zh-TW"/>
        </w:rPr>
        <w:t>UE UL Power Saving for Connected Mode</w:t>
      </w:r>
    </w:p>
    <w:p w14:paraId="75839E02">
      <w:pPr>
        <w:rPr>
          <w:rFonts w:hint="default"/>
          <w:lang w:val="en-US" w:eastAsia="zh-CN"/>
        </w:rPr>
      </w:pPr>
      <w:r>
        <w:rPr>
          <w:rFonts w:hint="default"/>
          <w:lang w:val="en-US" w:eastAsia="zh-CN"/>
        </w:rPr>
        <w:t>In the RRC_CONNECTED state, UEs continuously exchange uplink signals – both data and control – which can lead to significant power consumption if not optimized. Typical UCI includes ACK/NACK, CSI, SR, and periodic sounding or buffer status indications. Frequent transmission of these control signals, often on dedicated channels or at fixed intervals, keeps the UE’s transmitter and baseband active, thus draining energy. The focus of 6G is to redesign uplink signaling to eliminate redundant or idle transmissions and allow the UE to stay in discontinuous transmission (e.g., UL-DTX) mode whenever possible. By reducing how often and how long the UE needs to be actively transmitting in connected mode, substantial energy savings can be achieved without compromising reliability or latency.</w:t>
      </w:r>
      <w:r>
        <w:rPr>
          <w:rFonts w:hint="eastAsia"/>
          <w:lang w:val="en-US" w:eastAsia="zh-CN"/>
        </w:rPr>
        <w:t xml:space="preserve"> Several points we</w:t>
      </w:r>
      <w:r>
        <w:rPr>
          <w:rFonts w:hint="default"/>
          <w:lang w:val="en-US" w:eastAsia="zh-CN"/>
        </w:rPr>
        <w:t xml:space="preserve"> want to discuss: </w:t>
      </w:r>
    </w:p>
    <w:p w14:paraId="225DF5EE">
      <w:pPr>
        <w:rPr>
          <w:rFonts w:hint="default"/>
          <w:lang w:val="en-US" w:eastAsia="zh-CN"/>
        </w:rPr>
      </w:pPr>
      <w:r>
        <w:rPr>
          <w:rFonts w:hint="default" w:ascii="Times New Roman Bold Italic" w:hAnsi="Times New Roman Bold Italic" w:cs="Times New Roman Bold Italic"/>
          <w:b/>
          <w:bCs/>
          <w:i/>
          <w:iCs/>
          <w:lang w:val="en-US" w:eastAsia="zh-CN"/>
        </w:rPr>
        <w:t>Selective Uplink Feedback and UCI Optimization:</w:t>
      </w:r>
      <w:r>
        <w:rPr>
          <w:rFonts w:hint="default" w:ascii="Times New Roman Bold Italic" w:hAnsi="Times New Roman Bold Italic" w:cs="Times New Roman Bold Italic"/>
          <w:i/>
          <w:iCs/>
          <w:lang w:val="en-US" w:eastAsia="zh-CN"/>
        </w:rPr>
        <w:t xml:space="preserve"> </w:t>
      </w:r>
      <w:r>
        <w:rPr>
          <w:rFonts w:hint="default"/>
          <w:lang w:val="en-US" w:eastAsia="zh-CN"/>
        </w:rPr>
        <w:t>One key design direction is to skip or bundle non-critical feedback transmissions. Not every downlink packet needs an immediate individual ACK – for example, acknowledgements could be aggregated over a time window or inferred when errors are infrequent, thereby avoiding many one-bit uplink signals. Likewise, sparse CSI reporting is considered: rather than periodic reports, the UE may send channel state information only when significant changes occur or when explicitly polled by the network. This event-triggered or two-stage UCI reporting (an initial short indicator followed by detailed feedback if needed) minimizes constant uplink overhead. Similarly, scheduling requests can be optimized by using existing uplink data opportunities to piggyback requests or by relying on semi-persistent scheduling for predictable traffic, thus reducing standalone SR bursts. By selectively omitting or consolidating UCI transmissions, the UE can remain longer in idle transmit state as illustrated in Figure below, which extends battery life while still maintaining the necessary control link with the network.</w:t>
      </w:r>
    </w:p>
    <w:p w14:paraId="5E0222F1">
      <w:pPr>
        <w:jc w:val="center"/>
      </w:pPr>
      <w:r>
        <w:drawing>
          <wp:inline distT="0" distB="0" distL="114300" distR="114300">
            <wp:extent cx="5078730" cy="1946275"/>
            <wp:effectExtent l="0" t="0" r="0" b="9525"/>
            <wp:docPr id="27"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6"/>
                    <pic:cNvPicPr>
                      <a:picLocks noChangeAspect="1"/>
                    </pic:cNvPicPr>
                  </pic:nvPicPr>
                  <pic:blipFill>
                    <a:blip r:embed="rId13"/>
                    <a:stretch>
                      <a:fillRect/>
                    </a:stretch>
                  </pic:blipFill>
                  <pic:spPr>
                    <a:xfrm>
                      <a:off x="0" y="0"/>
                      <a:ext cx="5078730" cy="1946275"/>
                    </a:xfrm>
                    <a:prstGeom prst="rect">
                      <a:avLst/>
                    </a:prstGeom>
                  </pic:spPr>
                </pic:pic>
              </a:graphicData>
            </a:graphic>
          </wp:inline>
        </w:drawing>
      </w:r>
    </w:p>
    <w:p w14:paraId="34E46D5B">
      <w:pPr>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rPr>
        <w:t xml:space="preserve">Observation </w:t>
      </w:r>
      <w:r>
        <w:rPr>
          <w:rFonts w:hint="eastAsia" w:ascii="Times New Roman Bold Italic" w:hAnsi="Times New Roman Bold Italic" w:cs="Times New Roman Bold Italic"/>
          <w:b/>
          <w:bCs/>
          <w:i/>
          <w:iCs/>
          <w:lang w:val="en-US" w:eastAsia="zh-CN"/>
        </w:rPr>
        <w:t>30</w:t>
      </w:r>
      <w:r>
        <w:rPr>
          <w:rFonts w:hint="default" w:ascii="Times New Roman Bold Italic" w:hAnsi="Times New Roman Bold Italic" w:cs="Times New Roman Bold Italic"/>
          <w:b/>
          <w:bCs/>
          <w:i/>
          <w:iCs/>
          <w:lang w:val="en-US"/>
        </w:rPr>
        <w:t xml:space="preserve">: </w:t>
      </w:r>
      <w:r>
        <w:rPr>
          <w:rFonts w:hint="default" w:ascii="Times New Roman Bold Italic" w:hAnsi="Times New Roman Bold Italic" w:cs="Times New Roman Bold Italic"/>
          <w:b/>
          <w:bCs/>
          <w:i/>
          <w:iCs/>
          <w:lang w:val="en-US" w:eastAsia="zh-CN"/>
        </w:rPr>
        <w:t>By selectively omitting or consolidating UCI transmissions, the UE can remain longer in idle transmit state, which extends battery life while still maintaining the necessary control link with the network.</w:t>
      </w:r>
    </w:p>
    <w:p w14:paraId="310AC76E">
      <w:pPr>
        <w:rPr>
          <w:rFonts w:hint="default"/>
          <w:lang w:val="en-US" w:eastAsia="zh-CN"/>
        </w:rPr>
      </w:pPr>
      <w:r>
        <w:rPr>
          <w:rFonts w:hint="default" w:ascii="Times New Roman Bold Italic" w:hAnsi="Times New Roman Bold Italic" w:cs="Times New Roman Bold Italic"/>
          <w:b/>
          <w:bCs/>
          <w:i/>
          <w:iCs/>
          <w:lang w:val="en-US" w:eastAsia="zh-CN"/>
        </w:rPr>
        <w:t xml:space="preserve">Efficient Uplink Resource Utilization and Scheduling: </w:t>
      </w:r>
      <w:r>
        <w:rPr>
          <w:rFonts w:hint="default"/>
          <w:lang w:val="en-US" w:eastAsia="zh-CN"/>
        </w:rPr>
        <w:t>One aspect is time-domain aggregation of uplink transmissions – instead of sending many small packets or control signals spread out in time, the UE may combine data and control information into a single burst when feasible. This reduces the number of RF power ramp-ups and PA activations. The network can enable an uplink transmission burst mode where the UE is scheduled infrequently but with slightly larger payloads, effectively trading off a small increase in latency for a significant decrease in duty-cycle. Another crucial aspect is ensuring no late changes to UL transmissions by the scheduler. For example, 6G scheduling should provide stable grants with sufficient lead time and avoid revoking or altering uplink opportunities at the last instant. Scheduler stability ensures that when a UE prepares to send, it will transmit as planned, making each wake-up worthwhile from an energy perspective. One potential way to keep relatively feasible scheduling for UL transmission is considering mapping between common signal transmission occasions and UL transmission as as illustrated in Figure above.</w:t>
      </w:r>
    </w:p>
    <w:p w14:paraId="22A61AB7">
      <w:pPr>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 xml:space="preserve">Observation </w:t>
      </w:r>
      <w:r>
        <w:rPr>
          <w:rFonts w:hint="eastAsia" w:ascii="Times New Roman Bold Italic" w:hAnsi="Times New Roman Bold Italic" w:cs="Times New Roman Bold Italic"/>
          <w:b/>
          <w:bCs/>
          <w:i/>
          <w:iCs/>
          <w:lang w:val="en-US" w:eastAsia="zh-CN"/>
        </w:rPr>
        <w:t>31</w:t>
      </w:r>
      <w:r>
        <w:rPr>
          <w:rFonts w:hint="default" w:ascii="Times New Roman Bold Italic" w:hAnsi="Times New Roman Bold Italic" w:cs="Times New Roman Bold Italic"/>
          <w:b/>
          <w:bCs/>
          <w:i/>
          <w:iCs/>
          <w:lang w:val="en-US" w:eastAsia="zh-CN"/>
        </w:rPr>
        <w:t xml:space="preserve">: 6G scheduling should provide stable grants with sufficient lead time and avoid revoking or altering uplink opportunities at the last instant. </w:t>
      </w:r>
    </w:p>
    <w:p w14:paraId="1E321224">
      <w:pPr>
        <w:rPr>
          <w:rFonts w:hint="default" w:ascii="Times New Roman Bold Italic" w:hAnsi="Times New Roman Bold Italic" w:cs="Times New Roman Bold Italic"/>
          <w:b/>
          <w:bCs/>
          <w:i/>
          <w:iCs/>
          <w:lang w:val="en-US" w:eastAsia="zh-CN"/>
        </w:rPr>
      </w:pPr>
    </w:p>
    <w:p w14:paraId="4383DABC">
      <w:pPr>
        <w:rPr>
          <w:rFonts w:hint="default"/>
          <w:lang w:val="en-US" w:eastAsia="zh-CN"/>
        </w:rPr>
      </w:pPr>
      <w:r>
        <w:rPr>
          <w:rFonts w:hint="default" w:ascii="Times New Roman Bold Italic" w:hAnsi="Times New Roman Bold Italic" w:cs="Times New Roman Bold Italic"/>
          <w:b/>
          <w:bCs/>
          <w:i/>
          <w:iCs/>
          <w:lang w:val="en-US" w:eastAsia="zh-CN"/>
        </w:rPr>
        <w:t>Signal-Type Dependent Resource Mapping and Logical Partitioning:</w:t>
      </w:r>
      <w:r>
        <w:rPr>
          <w:rFonts w:hint="default"/>
          <w:lang w:val="en-US" w:eastAsia="zh-CN"/>
        </w:rPr>
        <w:t xml:space="preserve"> An energy-efficient uplink architecture will treat different UCI and signaling types according to their needs. HARQ ACK/NACK signals are short and delay-sensitive. From our perspective, 6G may assign them a very lightweight physical channel or even implicit acknowledgment schemes to eliminate explicit transmissions when possible. In contrast, CSI feedback can be moved to a pooled or on-demand resource design. Rather than each UE having a dedicated periodic CSI channel, the network could configure a shared uplink resource where UEs send CSI only when triggered; multiple UEs might share this pool in a time-multiplexed fashion, improving resource and energy efficiency. </w:t>
      </w:r>
    </w:p>
    <w:p w14:paraId="5049D4C2">
      <w:pPr>
        <w:rPr>
          <w:rFonts w:hint="default"/>
          <w:lang w:val="en-US" w:eastAsia="zh-CN"/>
        </w:rPr>
      </w:pPr>
      <w:r>
        <w:rPr>
          <w:rFonts w:hint="default"/>
          <w:lang w:val="en-US" w:eastAsia="zh-CN"/>
        </w:rPr>
        <w:t>For scheduling requests, a logical partition can be made between fixed and dynamic signaling: critical uplink requests could use a small persistent channel or indicator (to ensure quick access for active UEs), whereas most UEs rely on dynamic or contention-based resources to signal new UL data needs. This hybrid fixed/dynamic uplink control design avoids the constant overhead of assigning every UE a periodic SR opportunity.</w:t>
      </w:r>
    </w:p>
    <w:p w14:paraId="57CB36E5">
      <w:pPr>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 xml:space="preserve">Observation </w:t>
      </w:r>
      <w:r>
        <w:rPr>
          <w:rFonts w:hint="eastAsia" w:ascii="Times New Roman Bold Italic" w:hAnsi="Times New Roman Bold Italic" w:cs="Times New Roman Bold Italic"/>
          <w:b/>
          <w:bCs/>
          <w:i/>
          <w:iCs/>
          <w:lang w:val="en-US" w:eastAsia="zh-CN"/>
        </w:rPr>
        <w:t>32</w:t>
      </w:r>
      <w:r>
        <w:rPr>
          <w:rFonts w:hint="default" w:ascii="Times New Roman Bold Italic" w:hAnsi="Times New Roman Bold Italic" w:cs="Times New Roman Bold Italic"/>
          <w:b/>
          <w:bCs/>
          <w:i/>
          <w:iCs/>
          <w:lang w:val="en-US" w:eastAsia="zh-CN"/>
        </w:rPr>
        <w:t>: Simplified UCI formats and hybrid fixed/dynamic uplink control design could bring energy-saving gain.</w:t>
      </w:r>
    </w:p>
    <w:p w14:paraId="03905408">
      <w:pPr>
        <w:rPr>
          <w:rFonts w:hint="default"/>
          <w:lang w:val="en-US" w:eastAsia="zh-CN"/>
        </w:rPr>
      </w:pPr>
    </w:p>
    <w:p w14:paraId="7A11847F">
      <w:pPr>
        <w:rPr>
          <w:rFonts w:hint="default"/>
          <w:lang w:val="en-US" w:eastAsia="zh-CN"/>
        </w:rPr>
      </w:pPr>
      <w:r>
        <w:rPr>
          <w:rFonts w:hint="default" w:ascii="Times New Roman Bold Italic" w:hAnsi="Times New Roman Bold Italic" w:cs="Times New Roman Bold Italic"/>
          <w:b/>
          <w:bCs/>
          <w:i/>
          <w:iCs/>
          <w:lang w:val="en-US" w:eastAsia="zh-CN"/>
        </w:rPr>
        <w:t>Autonomous Uplink Transmissions and Resource Pooling:</w:t>
      </w:r>
      <w:r>
        <w:rPr>
          <w:rFonts w:hint="default"/>
          <w:lang w:val="en-US" w:eastAsia="zh-CN"/>
        </w:rPr>
        <w:t xml:space="preserve"> In 5G NR, configured grants demonstrated the benefit of reducing downlink control signaling and UE PDCCH monitoring. For 6G, an autonomous uplink mode is envisioned in which UEs are given leeway to send in pre-defined resource pools when they have data, using UE-selected transmission parameters. This reduces reliance on continuous scheduling commands, cutting down both the network’s control transmissions and the UE’s receiver activity. To remain efficient, however, autonomous uplink resources must be intelligently managed. The network should be able to dynamically enable or disable the grant-free mode per UE or cell as traffic varies. For instance, under light traffic, allowing UEs to use a shared uplink pool sporadically can eliminate needless scheduling signals and keep UEs mostly in sleep mode. Under heavy traffic, the gNB may revert to explicit scheduling to prevent collisions or repeated retransmissions that would arise if too many UEs use the same pool uncoordinated.</w:t>
      </w:r>
    </w:p>
    <w:p w14:paraId="3A837564">
      <w:pPr>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 xml:space="preserve">Observation </w:t>
      </w:r>
      <w:r>
        <w:rPr>
          <w:rFonts w:hint="eastAsia" w:ascii="Times New Roman Bold Italic" w:hAnsi="Times New Roman Bold Italic" w:cs="Times New Roman Bold Italic"/>
          <w:b/>
          <w:bCs/>
          <w:i/>
          <w:iCs/>
          <w:lang w:val="en-US" w:eastAsia="zh-CN"/>
        </w:rPr>
        <w:t>33</w:t>
      </w:r>
      <w:r>
        <w:rPr>
          <w:rFonts w:hint="default" w:ascii="Times New Roman Bold Italic" w:hAnsi="Times New Roman Bold Italic" w:cs="Times New Roman Bold Italic"/>
          <w:b/>
          <w:bCs/>
          <w:i/>
          <w:iCs/>
          <w:lang w:val="en-US" w:eastAsia="zh-CN"/>
        </w:rPr>
        <w:t>: For 6G, based on the traffic, an autonomous uplink mode is envisioned in which UEs are given to send in pre-defined resource pools when they have data, using UE-selected transmission parameters.</w:t>
      </w:r>
    </w:p>
    <w:p w14:paraId="75546B69">
      <w:pPr>
        <w:rPr>
          <w:rFonts w:hint="default"/>
          <w:lang w:val="en-US" w:eastAsia="zh-CN"/>
        </w:rPr>
      </w:pPr>
    </w:p>
    <w:p w14:paraId="48C70CAA">
      <w:pPr>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 xml:space="preserve">Proposal </w:t>
      </w:r>
      <w:r>
        <w:rPr>
          <w:rFonts w:hint="eastAsia" w:ascii="Times New Roman Bold Italic" w:hAnsi="Times New Roman Bold Italic" w:cs="Times New Roman Bold Italic"/>
          <w:b/>
          <w:bCs/>
          <w:i/>
          <w:iCs/>
          <w:lang w:val="en-US" w:eastAsia="zh-CN"/>
        </w:rPr>
        <w:t>30</w:t>
      </w:r>
      <w:r>
        <w:rPr>
          <w:rFonts w:hint="default" w:ascii="Times New Roman Bold Italic" w:hAnsi="Times New Roman Bold Italic" w:eastAsia="宋体" w:cs="Times New Roman Bold Italic"/>
          <w:b/>
          <w:bCs/>
          <w:i/>
          <w:iCs/>
          <w:lang w:val="en-US" w:eastAsia="zh-CN"/>
        </w:rPr>
        <w:t>: Study and evaluate power consumption reduction mechanism(s) for UE's UL data transmission, taking into account the following enhancement aspects:</w:t>
      </w:r>
    </w:p>
    <w:p w14:paraId="1F043015">
      <w:pPr>
        <w:numPr>
          <w:ilvl w:val="0"/>
          <w:numId w:val="27"/>
        </w:numPr>
        <w:ind w:left="840" w:leftChars="0" w:hanging="420" w:firstLineChars="0"/>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Selective uplink feedback and UCI optimization</w:t>
      </w:r>
    </w:p>
    <w:p w14:paraId="2FAEB617">
      <w:pPr>
        <w:numPr>
          <w:ilvl w:val="0"/>
          <w:numId w:val="27"/>
        </w:numPr>
        <w:ind w:left="840" w:leftChars="0" w:hanging="420" w:firstLineChars="0"/>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Efficient uplink resource utilization and scheduling including 2-stage</w:t>
      </w:r>
      <w:r>
        <w:rPr>
          <w:rFonts w:hint="default" w:ascii="Times New Roman Bold Italic" w:hAnsi="Times New Roman Bold Italic" w:cs="Times New Roman Bold Italic"/>
          <w:b/>
          <w:bCs/>
          <w:i/>
          <w:iCs/>
          <w:lang w:val="en-US" w:eastAsia="zh-CN"/>
        </w:rPr>
        <w:t>s</w:t>
      </w:r>
      <w:r>
        <w:rPr>
          <w:rFonts w:hint="default" w:ascii="Times New Roman Bold Italic" w:hAnsi="Times New Roman Bold Italic" w:eastAsia="宋体" w:cs="Times New Roman Bold Italic"/>
          <w:b/>
          <w:bCs/>
          <w:i/>
          <w:iCs/>
          <w:lang w:val="en-US" w:eastAsia="zh-CN"/>
        </w:rPr>
        <w:t xml:space="preserve"> UCI</w:t>
      </w:r>
    </w:p>
    <w:p w14:paraId="04CB4BE7">
      <w:pPr>
        <w:numPr>
          <w:ilvl w:val="1"/>
          <w:numId w:val="27"/>
        </w:numPr>
        <w:ind w:left="1260" w:leftChars="0" w:hanging="420" w:firstLineChars="0"/>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cs="Times New Roman Bold Italic"/>
          <w:b/>
          <w:bCs/>
          <w:i/>
          <w:iCs/>
          <w:lang w:val="en-US" w:eastAsia="zh-CN"/>
        </w:rPr>
        <w:t>UL transmissions by the scheduler</w:t>
      </w:r>
      <w:r>
        <w:rPr>
          <w:rFonts w:hint="eastAsia" w:ascii="Times New Roman Bold Italic" w:hAnsi="Times New Roman Bold Italic" w:cs="Times New Roman Bold Italic"/>
          <w:b/>
          <w:bCs/>
          <w:i/>
          <w:iCs/>
          <w:lang w:val="en-US" w:eastAsia="zh-CN"/>
        </w:rPr>
        <w:t xml:space="preserve"> with</w:t>
      </w:r>
      <w:r>
        <w:rPr>
          <w:rFonts w:hint="default" w:ascii="Times New Roman Bold Italic" w:hAnsi="Times New Roman Bold Italic" w:cs="Times New Roman Bold Italic"/>
          <w:b/>
          <w:bCs/>
          <w:i/>
          <w:iCs/>
          <w:lang w:val="en-US" w:eastAsia="zh-CN"/>
        </w:rPr>
        <w:t>out late changes</w:t>
      </w:r>
    </w:p>
    <w:p w14:paraId="74DE3FC5">
      <w:pPr>
        <w:numPr>
          <w:ilvl w:val="1"/>
          <w:numId w:val="27"/>
        </w:numPr>
        <w:ind w:left="1260" w:leftChars="0" w:hanging="420" w:firstLineChars="0"/>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cs="Times New Roman Bold Italic"/>
          <w:b/>
          <w:bCs/>
          <w:i/>
          <w:iCs/>
          <w:lang w:val="en-US" w:eastAsia="zh-CN"/>
        </w:rPr>
        <w:t xml:space="preserve">Other methods, e.g., </w:t>
      </w:r>
      <w:r>
        <w:rPr>
          <w:rFonts w:hint="default" w:ascii="Times New Roman Bold Italic" w:hAnsi="Times New Roman Bold Italic" w:cs="Times New Roman Bold Italic"/>
          <w:b/>
          <w:bCs/>
          <w:i/>
          <w:iCs/>
          <w:highlight w:val="none"/>
          <w:lang w:val="en-US" w:eastAsia="zh-CN"/>
        </w:rPr>
        <w:t>resources mapping based on other signal(s).</w:t>
      </w:r>
    </w:p>
    <w:p w14:paraId="3CF73F4D">
      <w:pPr>
        <w:numPr>
          <w:ilvl w:val="0"/>
          <w:numId w:val="27"/>
        </w:numPr>
        <w:ind w:left="840" w:leftChars="0" w:hanging="420" w:firstLineChars="0"/>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Signal-type dependent resource mapping and logical partitioning</w:t>
      </w:r>
    </w:p>
    <w:p w14:paraId="49A28E70">
      <w:pPr>
        <w:numPr>
          <w:ilvl w:val="0"/>
          <w:numId w:val="27"/>
        </w:numPr>
        <w:ind w:left="840" w:leftChars="0" w:hanging="420" w:firstLineChars="0"/>
        <w:rPr>
          <w:rFonts w:hint="default" w:ascii="Times New Roman Bold Italic" w:hAnsi="Times New Roman Bold Italic"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 xml:space="preserve">Autonomous uplink transmissions and resource pooling based on UE capability or traffic </w:t>
      </w:r>
    </w:p>
    <w:p w14:paraId="3033B8D5">
      <w:pPr>
        <w:rPr>
          <w:lang w:eastAsia="zh-CN"/>
        </w:rPr>
      </w:pPr>
    </w:p>
    <w:p w14:paraId="7D21183A">
      <w:pPr>
        <w:pStyle w:val="4"/>
        <w:numPr>
          <w:ilvl w:val="2"/>
          <w:numId w:val="0"/>
        </w:numPr>
        <w:tabs>
          <w:tab w:val="clear" w:pos="720"/>
        </w:tabs>
        <w:ind w:leftChars="0"/>
        <w:outlineLvl w:val="2"/>
        <w:rPr>
          <w:lang w:eastAsia="zh-CN"/>
        </w:rPr>
      </w:pPr>
      <w:r>
        <w:rPr>
          <w:rFonts w:hint="eastAsia"/>
          <w:lang w:val="en-US" w:eastAsia="zh-CN"/>
        </w:rPr>
        <w:t>5.2.</w:t>
      </w:r>
      <w:r>
        <w:rPr>
          <w:rFonts w:hint="default"/>
          <w:lang w:val="en-US" w:eastAsia="zh-CN"/>
        </w:rPr>
        <w:t>3</w:t>
      </w:r>
      <w:r>
        <w:rPr>
          <w:rFonts w:hint="eastAsia"/>
          <w:lang w:val="en-US" w:eastAsia="zh-CN"/>
        </w:rPr>
        <w:t xml:space="preserve"> UE </w:t>
      </w:r>
      <w:r>
        <w:rPr>
          <w:lang w:eastAsia="zh-CN"/>
        </w:rPr>
        <w:t>DRX enhancements</w:t>
      </w:r>
    </w:p>
    <w:p w14:paraId="27DCBEF6">
      <w:pPr>
        <w:pStyle w:val="25"/>
        <w:jc w:val="both"/>
        <w:rPr>
          <w:sz w:val="22"/>
          <w:szCs w:val="22"/>
        </w:rPr>
      </w:pPr>
      <w:r>
        <w:rPr>
          <w:sz w:val="22"/>
          <w:szCs w:val="22"/>
        </w:rPr>
        <w:t>C-DRX is a fundamental solution for UE power saving in connected mode. It is mainly used to reduce PDCCH monitoring while not performing periodic measurements/reporting. The base station will configure the parameters of C-DRX per UE by RRC signaling. Usually, within one DRX cycle, there are an active time and a non-active time. During the active time of C-DRX, the UE monitors PDCCH in PDCCH monitoring occasions. While during the non-active time, it does not need to monitor PDCCH, thereby saving power consumption.</w:t>
      </w:r>
    </w:p>
    <w:p w14:paraId="378E43DE">
      <w:pPr>
        <w:pStyle w:val="25"/>
        <w:jc w:val="both"/>
        <w:rPr>
          <w:sz w:val="22"/>
          <w:szCs w:val="22"/>
        </w:rPr>
      </w:pPr>
      <w:r>
        <w:rPr>
          <w:sz w:val="22"/>
          <w:szCs w:val="22"/>
        </w:rPr>
        <w:t xml:space="preserve">In RRC_IDLE and RRC_INACTIVE mode in NR, DRX is also to enable the UE to periodically receive Paging at certain specific locations, thereby achieving the goal of power saving. To save power consumption, both LTE and NR paging support discontinuous reception. </w:t>
      </w:r>
      <w:r>
        <w:t xml:space="preserve">The UE monitors one paging occasion (PO) per DRX cycle. in RRC_IDLE or RRC_INACTIVE mode, eDRX and </w:t>
      </w:r>
      <w:r>
        <w:rPr>
          <w:sz w:val="22"/>
          <w:szCs w:val="22"/>
        </w:rPr>
        <w:t>PSM are also introduced for further power saving.</w:t>
      </w:r>
    </w:p>
    <w:p w14:paraId="1D8B2F97">
      <w:pPr>
        <w:pStyle w:val="25"/>
        <w:jc w:val="both"/>
        <w:rPr>
          <w:rFonts w:hint="eastAsia" w:eastAsiaTheme="minorEastAsia"/>
          <w:sz w:val="22"/>
          <w:szCs w:val="22"/>
          <w:lang w:eastAsia="zh-CN"/>
        </w:rPr>
      </w:pPr>
      <w:r>
        <w:rPr>
          <w:rFonts w:eastAsiaTheme="minorEastAsia"/>
          <w:sz w:val="22"/>
          <w:szCs w:val="22"/>
          <w:lang w:eastAsia="zh-CN"/>
        </w:rPr>
        <w:t>Furthermore, in NR, several wake-up signals are supported based on UE DRX in different modes. These wake-up signals are used to skip some DRX cycles to reducing UE’s reception. However, there is some limitations for wake-up signal with periodic DRX while the traffic is not periodic. Hence, in 6G, we need study more efficient UE DRX co-operating with wake-up signal such as DRX adaptation.</w:t>
      </w:r>
    </w:p>
    <w:p w14:paraId="0E989195">
      <w:pPr>
        <w:pStyle w:val="25"/>
        <w:jc w:val="both"/>
        <w:rPr>
          <w:rFonts w:ascii="Times New Roman Bold Italic" w:hAnsi="Times New Roman Bold Italic" w:cs="Times New Roman Bold Italic"/>
          <w:b/>
          <w:bCs/>
          <w:i/>
          <w:iCs/>
          <w:lang w:eastAsia="zh-CN"/>
        </w:rPr>
      </w:pPr>
      <w:r>
        <w:rPr>
          <w:sz w:val="22"/>
          <w:szCs w:val="22"/>
        </w:rPr>
        <w:t xml:space="preserve">6G will support varies device types and varies traffic. Different UEs will support varying DRX cycle ranges, oscillator wake-up times, and multi-carrier monitoring abilities. For example, IoT device may prefer long DRX, while a high-performance device may tolerate short cycles. Thus, networks should rely on </w:t>
      </w:r>
      <w:r>
        <w:rPr>
          <w:rStyle w:val="30"/>
          <w:b w:val="0"/>
          <w:sz w:val="22"/>
          <w:szCs w:val="22"/>
        </w:rPr>
        <w:t>UE Assistance Information (UAI)</w:t>
      </w:r>
      <w:r>
        <w:rPr>
          <w:sz w:val="22"/>
          <w:szCs w:val="22"/>
        </w:rPr>
        <w:t xml:space="preserve"> to receive DRX preference. Based on these preferences, the network can assign DRX profiles that balance energy saving with QoS.</w:t>
      </w:r>
    </w:p>
    <w:p w14:paraId="5AC7D98C">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Proposal </w:t>
      </w:r>
      <w:r>
        <w:rPr>
          <w:rFonts w:hint="eastAsia" w:ascii="Times New Roman Bold Italic" w:hAnsi="Times New Roman Bold Italic" w:cs="Times New Roman Bold Italic"/>
          <w:b/>
          <w:bCs/>
          <w:i/>
          <w:iCs/>
          <w:lang w:val="en-US" w:eastAsia="zh-CN"/>
        </w:rPr>
        <w:t>31</w:t>
      </w:r>
      <w:r>
        <w:rPr>
          <w:rFonts w:ascii="Times New Roman Bold Italic" w:hAnsi="Times New Roman Bold Italic" w:cs="Times New Roman Bold Italic"/>
          <w:b/>
          <w:bCs/>
          <w:i/>
          <w:iCs/>
          <w:lang w:eastAsia="zh-CN"/>
        </w:rPr>
        <w:t xml:space="preserve">: Study more efficient UE DRX </w:t>
      </w:r>
      <w:bookmarkStart w:id="19" w:name="_Hlk213319509"/>
      <w:r>
        <w:rPr>
          <w:rFonts w:ascii="Times New Roman Bold Italic" w:hAnsi="Times New Roman Bold Italic" w:cs="Times New Roman Bold Italic"/>
          <w:b/>
          <w:bCs/>
          <w:i/>
          <w:iCs/>
          <w:lang w:eastAsia="zh-CN"/>
        </w:rPr>
        <w:t xml:space="preserve">both in idle mode and connected mode, </w:t>
      </w:r>
      <w:bookmarkEnd w:id="19"/>
      <w:r>
        <w:rPr>
          <w:rFonts w:ascii="Times New Roman Bold Italic" w:hAnsi="Times New Roman Bold Italic" w:cs="Times New Roman Bold Italic"/>
          <w:b/>
          <w:bCs/>
          <w:i/>
          <w:iCs/>
          <w:lang w:eastAsia="zh-CN"/>
        </w:rPr>
        <w:t>including the following aspects:</w:t>
      </w:r>
    </w:p>
    <w:p w14:paraId="2CCC94C1">
      <w:pPr>
        <w:pStyle w:val="51"/>
        <w:numPr>
          <w:ilvl w:val="0"/>
          <w:numId w:val="28"/>
        </w:numPr>
        <w:rPr>
          <w:rFonts w:ascii="Times New Roman Bold Italic" w:hAnsi="Times New Roman Bold Italic" w:cs="Times New Roman Bold Italic"/>
          <w:b/>
          <w:bCs/>
          <w:i/>
          <w:iCs/>
          <w:sz w:val="22"/>
          <w:szCs w:val="22"/>
          <w:lang w:eastAsia="zh-CN"/>
        </w:rPr>
      </w:pPr>
      <w:r>
        <w:rPr>
          <w:rFonts w:ascii="Times New Roman Bold Italic" w:hAnsi="Times New Roman Bold Italic" w:cs="Times New Roman Bold Italic"/>
          <w:b/>
          <w:bCs/>
          <w:i/>
          <w:iCs/>
          <w:sz w:val="22"/>
          <w:szCs w:val="22"/>
          <w:lang w:eastAsia="zh-CN"/>
        </w:rPr>
        <w:t>co-operating with wake-up signal</w:t>
      </w:r>
    </w:p>
    <w:p w14:paraId="148657AC">
      <w:pPr>
        <w:pStyle w:val="51"/>
        <w:numPr>
          <w:ilvl w:val="0"/>
          <w:numId w:val="28"/>
        </w:numPr>
        <w:rPr>
          <w:rFonts w:ascii="Times New Roman Bold Italic" w:hAnsi="Times New Roman Bold Italic" w:cs="Times New Roman Bold Italic"/>
          <w:b/>
          <w:bCs/>
          <w:i/>
          <w:iCs/>
          <w:sz w:val="22"/>
          <w:szCs w:val="22"/>
          <w:lang w:eastAsia="zh-CN"/>
        </w:rPr>
      </w:pPr>
      <w:r>
        <w:rPr>
          <w:rFonts w:ascii="Times New Roman Bold Italic" w:hAnsi="Times New Roman Bold Italic" w:cs="Times New Roman Bold Italic"/>
          <w:b/>
          <w:bCs/>
          <w:i/>
          <w:iCs/>
          <w:sz w:val="22"/>
          <w:szCs w:val="22"/>
          <w:lang w:eastAsia="zh-CN"/>
        </w:rPr>
        <w:t>DRX adaptation, e.g., parameters adaptation</w:t>
      </w:r>
    </w:p>
    <w:p w14:paraId="308039F6">
      <w:pPr>
        <w:pStyle w:val="51"/>
        <w:numPr>
          <w:ilvl w:val="0"/>
          <w:numId w:val="28"/>
        </w:numPr>
        <w:rPr>
          <w:rFonts w:ascii="Times New Roman Bold Italic" w:hAnsi="Times New Roman Bold Italic" w:cs="Times New Roman Bold Italic"/>
          <w:b/>
          <w:bCs/>
          <w:i/>
          <w:iCs/>
          <w:sz w:val="22"/>
          <w:szCs w:val="22"/>
          <w:lang w:eastAsia="zh-CN"/>
        </w:rPr>
      </w:pPr>
      <w:r>
        <w:rPr>
          <w:rFonts w:ascii="Times New Roman Bold Italic" w:hAnsi="Times New Roman Bold Italic" w:cs="Times New Roman Bold Italic"/>
          <w:b/>
          <w:bCs/>
          <w:i/>
          <w:iCs/>
          <w:sz w:val="22"/>
          <w:szCs w:val="22"/>
          <w:lang w:eastAsia="zh-CN"/>
        </w:rPr>
        <w:t>Impact on varies device type and varies traffic types</w:t>
      </w:r>
    </w:p>
    <w:p w14:paraId="7A7666DF">
      <w:pPr>
        <w:pStyle w:val="51"/>
        <w:numPr>
          <w:ilvl w:val="0"/>
          <w:numId w:val="28"/>
        </w:numPr>
        <w:rPr>
          <w:rFonts w:ascii="Times New Roman Bold Italic" w:hAnsi="Times New Roman Bold Italic" w:cs="Times New Roman Bold Italic"/>
          <w:b/>
          <w:bCs/>
          <w:i/>
          <w:iCs/>
          <w:sz w:val="22"/>
          <w:szCs w:val="22"/>
          <w:lang w:eastAsia="zh-CN"/>
        </w:rPr>
      </w:pPr>
      <w:r>
        <w:rPr>
          <w:rFonts w:ascii="Times New Roman Bold Italic" w:hAnsi="Times New Roman Bold Italic" w:cs="Times New Roman Bold Italic"/>
          <w:b/>
          <w:bCs/>
          <w:i/>
          <w:iCs/>
          <w:sz w:val="22"/>
          <w:szCs w:val="22"/>
          <w:lang w:eastAsia="zh-CN"/>
        </w:rPr>
        <w:t>UE DRX in idle mode and connected mode can be studied separately.</w:t>
      </w:r>
    </w:p>
    <w:p w14:paraId="08D6205F">
      <w:pPr>
        <w:rPr>
          <w:lang w:eastAsia="zh-CN"/>
        </w:rPr>
      </w:pPr>
    </w:p>
    <w:p w14:paraId="5C275F03">
      <w:pPr>
        <w:pStyle w:val="4"/>
        <w:numPr>
          <w:ilvl w:val="2"/>
          <w:numId w:val="0"/>
        </w:numPr>
        <w:tabs>
          <w:tab w:val="clear" w:pos="720"/>
        </w:tabs>
        <w:ind w:leftChars="0"/>
        <w:rPr>
          <w:lang w:eastAsia="zh-CN"/>
        </w:rPr>
      </w:pPr>
      <w:r>
        <w:rPr>
          <w:rFonts w:hint="eastAsia"/>
          <w:lang w:val="en-US" w:eastAsia="zh-CN"/>
        </w:rPr>
        <w:t>5.2.</w:t>
      </w:r>
      <w:r>
        <w:rPr>
          <w:rFonts w:hint="default"/>
          <w:lang w:val="en-US" w:eastAsia="zh-CN"/>
        </w:rPr>
        <w:t>4</w:t>
      </w:r>
      <w:r>
        <w:rPr>
          <w:rFonts w:hint="eastAsia"/>
          <w:lang w:val="en-US" w:eastAsia="zh-CN"/>
        </w:rPr>
        <w:t xml:space="preserve"> </w:t>
      </w:r>
      <w:r>
        <w:rPr>
          <w:lang w:eastAsia="zh-CN"/>
        </w:rPr>
        <w:t>WUS mechanisms</w:t>
      </w:r>
      <w:r>
        <w:rPr>
          <w:rFonts w:hint="eastAsia"/>
          <w:lang w:val="en-US" w:eastAsia="zh-CN"/>
        </w:rPr>
        <w:t xml:space="preserve"> </w:t>
      </w:r>
    </w:p>
    <w:p w14:paraId="7C2041C0">
      <w:pPr>
        <w:pStyle w:val="6"/>
        <w:numPr>
          <w:ilvl w:val="3"/>
          <w:numId w:val="0"/>
        </w:numPr>
        <w:ind w:leftChars="0"/>
        <w:rPr>
          <w:lang w:eastAsia="zh-CN"/>
        </w:rPr>
      </w:pPr>
      <w:r>
        <w:rPr>
          <w:rFonts w:hint="default"/>
          <w:lang w:val="en-US" w:eastAsia="zh-CN"/>
        </w:rPr>
        <w:t xml:space="preserve">5.2.4.1 </w:t>
      </w:r>
      <w:r>
        <w:rPr>
          <w:lang w:eastAsia="zh-CN"/>
        </w:rPr>
        <w:t xml:space="preserve">Downlink </w:t>
      </w:r>
      <w:r>
        <w:rPr>
          <w:rFonts w:hint="default"/>
          <w:lang w:val="en-US" w:eastAsia="zh-CN"/>
        </w:rPr>
        <w:t>LP-</w:t>
      </w:r>
      <w:r>
        <w:rPr>
          <w:lang w:eastAsia="zh-CN"/>
        </w:rPr>
        <w:t>WUS enhancement</w:t>
      </w:r>
      <w:r>
        <w:rPr>
          <w:rFonts w:hint="eastAsia"/>
          <w:lang w:eastAsia="zh-CN"/>
        </w:rPr>
        <w:t xml:space="preserve"> </w:t>
      </w:r>
    </w:p>
    <w:p w14:paraId="22CADD74">
      <w:pPr>
        <w:rPr>
          <w:rFonts w:hint="default"/>
          <w:lang w:val="en-US" w:eastAsia="zh-CN"/>
        </w:rPr>
      </w:pPr>
      <w:r>
        <w:rPr>
          <w:rFonts w:hint="eastAsia"/>
          <w:lang w:val="en-US" w:eastAsia="zh-CN"/>
        </w:rPr>
        <w:t>In</w:t>
      </w:r>
      <w:r>
        <w:rPr>
          <w:rFonts w:hint="default"/>
          <w:lang w:val="en-US" w:eastAsia="zh-CN"/>
        </w:rPr>
        <w:t xml:space="preserve"> last meeting, one agreement of DL WUS has been given in chair notes and we copied it as following</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1C99A53C">
        <w:tc>
          <w:tcPr>
            <w:tcW w:w="9307" w:type="dxa"/>
          </w:tcPr>
          <w:p w14:paraId="18BCF1FF">
            <w:pPr>
              <w:widowControl w:val="0"/>
              <w:tabs>
                <w:tab w:val="left" w:pos="0"/>
              </w:tabs>
              <w:spacing w:line="256" w:lineRule="auto"/>
              <w:rPr>
                <w:rFonts w:cs="Arial" w:eastAsiaTheme="minorEastAsia"/>
                <w:highlight w:val="green"/>
                <w:lang w:val="en-US" w:eastAsia="zh-CN"/>
              </w:rPr>
            </w:pPr>
            <w:r>
              <w:rPr>
                <w:rFonts w:hint="eastAsia" w:cs="Arial" w:eastAsiaTheme="minorEastAsia"/>
                <w:highlight w:val="green"/>
                <w:lang w:val="en-US" w:eastAsia="zh-CN"/>
              </w:rPr>
              <w:t>Agreement</w:t>
            </w:r>
          </w:p>
          <w:p w14:paraId="71C46A46">
            <w:pPr>
              <w:widowControl w:val="0"/>
              <w:tabs>
                <w:tab w:val="left" w:pos="0"/>
              </w:tabs>
              <w:spacing w:line="254" w:lineRule="auto"/>
              <w:rPr>
                <w:rFonts w:eastAsiaTheme="minorEastAsia"/>
                <w:lang w:val="en-US" w:eastAsia="zh-CN"/>
              </w:rPr>
            </w:pPr>
            <w:r>
              <w:rPr>
                <w:lang w:val="en-US"/>
              </w:rPr>
              <w:t xml:space="preserve">Study and evaluate DL WUS </w:t>
            </w:r>
            <w:r>
              <w:rPr>
                <w:rFonts w:hint="eastAsia"/>
                <w:lang w:val="en-US"/>
              </w:rPr>
              <w:t xml:space="preserve">of OFDM based sequence </w:t>
            </w:r>
            <w:r>
              <w:rPr>
                <w:lang w:val="en-US"/>
              </w:rPr>
              <w:t>and corresponding mechanism</w:t>
            </w:r>
            <w:r>
              <w:rPr>
                <w:rFonts w:hint="eastAsia" w:eastAsiaTheme="minorEastAsia"/>
                <w:lang w:val="en-US" w:eastAsia="zh-CN"/>
              </w:rPr>
              <w:t>s</w:t>
            </w:r>
            <w:r>
              <w:rPr>
                <w:lang w:val="en-US"/>
              </w:rPr>
              <w:t xml:space="preserve"> for 6GR EE improvement, regarding </w:t>
            </w:r>
            <w:r>
              <w:rPr>
                <w:rFonts w:hint="eastAsia" w:eastAsiaTheme="minorEastAsia"/>
                <w:lang w:val="en-US" w:eastAsia="zh-CN"/>
              </w:rPr>
              <w:t xml:space="preserve">at least </w:t>
            </w:r>
            <w:r>
              <w:rPr>
                <w:lang w:val="en-US"/>
              </w:rPr>
              <w:t>the following aspects:</w:t>
            </w:r>
          </w:p>
          <w:p w14:paraId="172DFCA3">
            <w:pPr>
              <w:widowControl w:val="0"/>
              <w:numPr>
                <w:ilvl w:val="0"/>
                <w:numId w:val="29"/>
              </w:numPr>
              <w:tabs>
                <w:tab w:val="left" w:pos="0"/>
              </w:tabs>
              <w:suppressAutoHyphens/>
              <w:spacing w:line="254" w:lineRule="auto"/>
              <w:jc w:val="both"/>
              <w:rPr>
                <w:lang w:val="en-US"/>
              </w:rPr>
            </w:pPr>
            <w:r>
              <w:rPr>
                <w:lang w:val="en-US"/>
              </w:rPr>
              <w:t xml:space="preserve">Coverage target for </w:t>
            </w:r>
            <w:r>
              <w:rPr>
                <w:rFonts w:hint="eastAsia" w:eastAsiaTheme="minorEastAsia"/>
                <w:lang w:val="en-US" w:eastAsia="zh-CN"/>
              </w:rPr>
              <w:t xml:space="preserve">DL </w:t>
            </w:r>
            <w:r>
              <w:rPr>
                <w:lang w:val="en-US"/>
              </w:rPr>
              <w:t>WUS (e.g., same as PDCCH, common sync signal, or other)</w:t>
            </w:r>
          </w:p>
          <w:p w14:paraId="5A41C0C5">
            <w:pPr>
              <w:widowControl w:val="0"/>
              <w:numPr>
                <w:ilvl w:val="0"/>
                <w:numId w:val="29"/>
              </w:numPr>
              <w:tabs>
                <w:tab w:val="left" w:pos="0"/>
              </w:tabs>
              <w:suppressAutoHyphens/>
              <w:spacing w:line="254" w:lineRule="auto"/>
              <w:jc w:val="both"/>
              <w:rPr>
                <w:lang w:val="en-US"/>
              </w:rPr>
            </w:pPr>
            <w:r>
              <w:rPr>
                <w:rFonts w:hint="eastAsia" w:eastAsiaTheme="minorEastAsia"/>
                <w:lang w:val="en-US" w:eastAsia="zh-CN"/>
              </w:rPr>
              <w:t>M</w:t>
            </w:r>
            <w:r>
              <w:rPr>
                <w:lang w:val="en-US"/>
              </w:rPr>
              <w:t>easurements and/or synchronization.</w:t>
            </w:r>
          </w:p>
          <w:p w14:paraId="278D3151">
            <w:pPr>
              <w:widowControl w:val="0"/>
              <w:numPr>
                <w:ilvl w:val="0"/>
                <w:numId w:val="29"/>
              </w:numPr>
              <w:tabs>
                <w:tab w:val="left" w:pos="0"/>
              </w:tabs>
              <w:suppressAutoHyphens/>
              <w:spacing w:line="254" w:lineRule="auto"/>
              <w:jc w:val="both"/>
              <w:rPr>
                <w:lang w:val="en-US"/>
              </w:rPr>
            </w:pPr>
            <w:r>
              <w:rPr>
                <w:rFonts w:hint="eastAsia" w:eastAsiaTheme="minorEastAsia"/>
                <w:lang w:val="en-US" w:eastAsia="zh-CN"/>
              </w:rPr>
              <w:t>S</w:t>
            </w:r>
            <w:r>
              <w:rPr>
                <w:lang w:val="en-US"/>
              </w:rPr>
              <w:t xml:space="preserve">ystem overhead </w:t>
            </w:r>
            <w:r>
              <w:rPr>
                <w:rFonts w:hint="eastAsia"/>
                <w:lang w:val="en-US"/>
              </w:rPr>
              <w:t>and network energy consumption/U</w:t>
            </w:r>
            <w:r>
              <w:rPr>
                <w:rFonts w:hint="eastAsia" w:eastAsiaTheme="minorEastAsia"/>
                <w:lang w:val="en-US" w:eastAsia="zh-CN"/>
              </w:rPr>
              <w:t xml:space="preserve">E energy saving </w:t>
            </w:r>
            <w:r>
              <w:rPr>
                <w:lang w:val="en-US"/>
              </w:rPr>
              <w:t>for UE operation with the DL WUS.</w:t>
            </w:r>
          </w:p>
          <w:p w14:paraId="61966482">
            <w:pPr>
              <w:widowControl w:val="0"/>
              <w:numPr>
                <w:ilvl w:val="0"/>
                <w:numId w:val="29"/>
              </w:numPr>
              <w:tabs>
                <w:tab w:val="left" w:pos="0"/>
              </w:tabs>
              <w:suppressAutoHyphens/>
              <w:spacing w:line="256" w:lineRule="auto"/>
              <w:jc w:val="both"/>
              <w:rPr>
                <w:rFonts w:cs="Arial" w:eastAsiaTheme="minorEastAsia"/>
                <w:lang w:val="en-US" w:eastAsia="zh-CN"/>
              </w:rPr>
            </w:pPr>
            <w:r>
              <w:rPr>
                <w:rFonts w:hint="eastAsia" w:eastAsiaTheme="minorEastAsia"/>
                <w:lang w:val="en-US" w:eastAsia="zh-CN"/>
              </w:rPr>
              <w:t>RRC states</w:t>
            </w:r>
          </w:p>
          <w:p w14:paraId="48785D89">
            <w:pPr>
              <w:widowControl w:val="0"/>
              <w:numPr>
                <w:ilvl w:val="0"/>
                <w:numId w:val="29"/>
              </w:numPr>
              <w:tabs>
                <w:tab w:val="left" w:pos="0"/>
              </w:tabs>
              <w:suppressAutoHyphens/>
              <w:spacing w:line="256" w:lineRule="auto"/>
              <w:jc w:val="both"/>
              <w:rPr>
                <w:rFonts w:hint="default" w:eastAsia="等线"/>
                <w:i/>
                <w:iCs/>
                <w:lang w:val="en-US" w:eastAsia="zh-CN"/>
              </w:rPr>
            </w:pPr>
            <w:r>
              <w:rPr>
                <w:rFonts w:hint="eastAsia" w:eastAsiaTheme="minorEastAsia"/>
                <w:lang w:val="en-US" w:eastAsia="zh-CN"/>
              </w:rPr>
              <w:t>Other functionalities</w:t>
            </w:r>
          </w:p>
        </w:tc>
      </w:tr>
    </w:tbl>
    <w:p w14:paraId="53A24965">
      <w:pPr>
        <w:rPr>
          <w:rFonts w:hint="default"/>
          <w:lang w:val="en-US" w:eastAsia="zh-CN"/>
        </w:rPr>
      </w:pPr>
      <w:r>
        <w:rPr>
          <w:rFonts w:hint="default"/>
          <w:lang w:val="en-US" w:eastAsia="zh-CN"/>
        </w:rPr>
        <w:t xml:space="preserve">Here, we want to further discuss related problems for LP-WUS applied into 6G EE. </w:t>
      </w:r>
    </w:p>
    <w:p w14:paraId="76A3D629">
      <w:pPr>
        <w:rPr>
          <w:rFonts w:hint="default"/>
          <w:lang w:val="en-US" w:eastAsia="zh-CN"/>
        </w:rPr>
      </w:pPr>
      <w:r>
        <w:rPr>
          <w:rFonts w:hint="default"/>
          <w:lang w:val="en-US" w:eastAsia="zh-CN"/>
        </w:rPr>
        <w:t>By using an OFDM-based waveform for WUS, 6G can reuse and align with the existing NR/6G air interface, ensuring robust coverage and easy integration. This approach is favored to guarantee that wake-up signals achieve similar coverage as regular control channels (</w:t>
      </w:r>
      <w:r>
        <w:rPr>
          <w:rFonts w:hint="eastAsia"/>
          <w:lang w:val="en-US" w:eastAsia="zh-CN"/>
        </w:rPr>
        <w:t>e.g.，</w:t>
      </w:r>
      <w:r>
        <w:rPr>
          <w:rFonts w:hint="default"/>
          <w:lang w:val="en-US" w:eastAsia="zh-CN"/>
        </w:rPr>
        <w:t>PDCCH or sync signals) and to minimize the chance that a UE in sleep mode misses a wake-up. An OFDM-based WUS can also carry or align with known reference sequences for timing, aiding synchronization. Importantly, the downlink WUS concept in 6G should span across RRC states – primarily benefiting UEs in Idle or Inactive state preceding paging occasions, but also potentially applicable in connected mode (e.g. preceding a long DRX on-duration) to maximize power saving in all UE modes. 6G’s day-one inclusion of WUS means the network and devices can be designed holistically for “sleep-first” operation, unlike 5G which had to retrofit these features in later releases. (Notably, companies have highlighted that adopting an OFDM-based WUS/WUR from the outset is critical to ensure coverage and performance requirements are met in 6G.</w:t>
      </w:r>
    </w:p>
    <w:p w14:paraId="339D7B30">
      <w:r>
        <w:t>Low-power wake-up signals must reliably reach devices even in challenging radio conditions (</w:t>
      </w:r>
      <w:r>
        <w:rPr>
          <w:rFonts w:hint="default"/>
          <w:lang w:val="en-US"/>
        </w:rPr>
        <w:t xml:space="preserve">e.g., </w:t>
      </w:r>
      <w:r>
        <w:t xml:space="preserve">wide-area cell edges, deep indoor scenarios, etc.). Ensuring this may require techniques like repetition, beamforming, or robust coding for the WUS to boost the link budget. The design should balance such enhancements with system overhead, since excessive repetitions would increase network energy usage. Additionally, the WUS should be </w:t>
      </w:r>
      <w:r>
        <w:rPr>
          <w:i/>
          <w:iCs/>
        </w:rPr>
        <w:t>selective</w:t>
      </w:r>
      <w:r>
        <w:t xml:space="preserve"> to avoid waking up UEs unnecessarily. </w:t>
      </w:r>
    </w:p>
    <w:p w14:paraId="177A2C07">
      <w:pPr>
        <w:rPr>
          <w:rFonts w:hint="eastAsia" w:ascii="Times New Roman Bold Italic" w:hAnsi="Times New Roman Bold Italic" w:cs="Times New Roman Bold Italic"/>
          <w:b/>
          <w:bCs/>
          <w:i/>
          <w:iCs/>
          <w:lang w:eastAsia="zh-CN"/>
        </w:rPr>
      </w:pPr>
      <w:r>
        <w:t xml:space="preserve">Another aspect of </w:t>
      </w:r>
      <w:r>
        <w:rPr>
          <w:rFonts w:hint="default"/>
          <w:lang w:val="en-US"/>
        </w:rPr>
        <w:t>LP-</w:t>
      </w:r>
      <w:r>
        <w:t>WUS enhancement is how the UE maintains synchronization and performs necessary measurements while largely asleep. A wake-up signal can be accompanied by or integrated with a low-power synchronization signal (sometimes termed LP-SS), which provides just enough reference for the UE’s WUR to correct timing or frequency offset when waking.</w:t>
      </w:r>
    </w:p>
    <w:p w14:paraId="229557AB">
      <w:pPr>
        <w:rPr>
          <w:rFonts w:hint="default" w:ascii="Times New Roman Bold Italic" w:hAnsi="Times New Roman Bold Italic" w:cs="Times New Roman Bold Italic"/>
          <w:b/>
          <w:bCs/>
          <w:i/>
          <w:iCs/>
          <w:sz w:val="22"/>
          <w:szCs w:val="22"/>
          <w:lang w:val="en-US"/>
        </w:rPr>
      </w:pPr>
      <w:r>
        <w:rPr>
          <w:rFonts w:hint="eastAsia" w:ascii="Times New Roman Bold Italic" w:hAnsi="Times New Roman Bold Italic" w:cs="Times New Roman Bold Italic"/>
          <w:b/>
          <w:bCs/>
          <w:i/>
          <w:iCs/>
          <w:sz w:val="22"/>
          <w:szCs w:val="22"/>
          <w:lang w:eastAsia="zh-CN"/>
        </w:rPr>
        <w:t xml:space="preserve">Observation </w:t>
      </w:r>
      <w:r>
        <w:rPr>
          <w:rFonts w:hint="eastAsia" w:ascii="Times New Roman Bold Italic" w:hAnsi="Times New Roman Bold Italic" w:cs="Times New Roman Bold Italic"/>
          <w:b/>
          <w:bCs/>
          <w:i/>
          <w:iCs/>
          <w:sz w:val="22"/>
          <w:szCs w:val="22"/>
          <w:lang w:val="en-US" w:eastAsia="zh-CN"/>
        </w:rPr>
        <w:t>34</w:t>
      </w:r>
      <w:r>
        <w:rPr>
          <w:rFonts w:hint="default" w:ascii="Times New Roman Bold Italic" w:hAnsi="Times New Roman Bold Italic" w:cs="Times New Roman Bold Italic"/>
          <w:b/>
          <w:bCs/>
          <w:i/>
          <w:iCs/>
          <w:sz w:val="22"/>
          <w:szCs w:val="22"/>
          <w:lang w:val="en-US" w:eastAsia="zh-CN"/>
        </w:rPr>
        <w:t>:</w:t>
      </w:r>
      <w:r>
        <w:rPr>
          <w:sz w:val="22"/>
          <w:szCs w:val="22"/>
        </w:rPr>
        <w:t xml:space="preserve"> </w:t>
      </w:r>
      <w:r>
        <w:rPr>
          <w:rFonts w:hint="default" w:ascii="Times New Roman Bold Italic" w:hAnsi="Times New Roman Bold Italic" w:cs="Times New Roman Bold Italic"/>
          <w:b/>
          <w:bCs/>
          <w:i/>
          <w:iCs/>
          <w:sz w:val="22"/>
          <w:szCs w:val="22"/>
          <w:lang w:val="en-US"/>
        </w:rPr>
        <w:t>LP-WUS could be used for measurements or synchronization in 6G day-1 to improve 6G EE, but coverage and reliability needs to carefully consider.</w:t>
      </w:r>
    </w:p>
    <w:p w14:paraId="64129090">
      <w:pPr>
        <w:rPr>
          <w:rFonts w:hint="default" w:ascii="Times New Roman Bold Italic" w:hAnsi="Times New Roman Bold Italic" w:cs="Times New Roman Bold Italic"/>
          <w:b/>
          <w:bCs/>
          <w:i/>
          <w:iCs/>
          <w:lang w:val="en-US"/>
        </w:rPr>
      </w:pPr>
    </w:p>
    <w:p w14:paraId="044F5371">
      <w:pPr>
        <w:pStyle w:val="5"/>
        <w:rPr>
          <w:sz w:val="22"/>
          <w:szCs w:val="22"/>
        </w:rPr>
      </w:pPr>
      <w:r>
        <w:rPr>
          <w:sz w:val="22"/>
          <w:szCs w:val="22"/>
        </w:rPr>
        <w:t xml:space="preserve">From an implementation perspective, </w:t>
      </w:r>
      <w:r>
        <w:rPr>
          <w:rFonts w:hint="default"/>
          <w:sz w:val="22"/>
          <w:szCs w:val="22"/>
          <w:lang w:val="en-US"/>
        </w:rPr>
        <w:t>o</w:t>
      </w:r>
      <w:r>
        <w:rPr>
          <w:sz w:val="22"/>
          <w:szCs w:val="22"/>
        </w:rPr>
        <w:t xml:space="preserve">ne option is a </w:t>
      </w:r>
      <w:r>
        <w:rPr>
          <w:b w:val="0"/>
          <w:bCs w:val="0"/>
          <w:sz w:val="22"/>
          <w:szCs w:val="22"/>
        </w:rPr>
        <w:t>separate, dedicated WUR</w:t>
      </w:r>
      <w:r>
        <w:rPr>
          <w:sz w:val="22"/>
          <w:szCs w:val="22"/>
        </w:rPr>
        <w:t xml:space="preserve"> hardware block that continuously listens for WUS with ultra-low power consumption (as considered in Rel-18). This separate receiver can be extremely simple (e.g. energy detection), but if the WUS is OFDM-based, the WUR still needs a small FFT and synchronization capability, adding some cost and complexity. Another option is a </w:t>
      </w:r>
      <w:r>
        <w:rPr>
          <w:b w:val="0"/>
          <w:bCs w:val="0"/>
          <w:sz w:val="22"/>
          <w:szCs w:val="22"/>
        </w:rPr>
        <w:t>shared receiver approach</w:t>
      </w:r>
      <w:r>
        <w:rPr>
          <w:sz w:val="22"/>
          <w:szCs w:val="22"/>
        </w:rPr>
        <w:t xml:space="preserve">, where the UE’s main RF chain is cleverly duty-cycled or a scaled-down version of it is used to monitor WUS. This reuses existing hardware (antennas, oscillator, ADC, etc.), leveraging the common 6G OFDM waveform, at the expense of the main receiver drawing a bit more power than an ideal tiny WUR. The trade-off essentially is between </w:t>
      </w:r>
      <w:r>
        <w:rPr>
          <w:b w:val="0"/>
          <w:bCs w:val="0"/>
          <w:sz w:val="22"/>
          <w:szCs w:val="22"/>
        </w:rPr>
        <w:t>maximum power saving vs. cost/complexity:</w:t>
      </w:r>
      <w:r>
        <w:rPr>
          <w:sz w:val="22"/>
          <w:szCs w:val="22"/>
        </w:rPr>
        <w:t xml:space="preserve"> a very simple WUR can minimize power usage but may not easily achieve the needed coverage or could require additional components, whereas an OFDM-based WUR integrated with the main receiver is more reusable and ensures performance, but might not be as frugal as a standalone analog WUR. </w:t>
      </w:r>
    </w:p>
    <w:p w14:paraId="4982ED3B">
      <w:pPr>
        <w:pStyle w:val="5"/>
        <w:rPr>
          <w:rFonts w:hint="default" w:ascii="Times New Roman Bold Italic" w:hAnsi="Times New Roman Bold Italic" w:cs="Times New Roman Bold Italic"/>
          <w:b/>
          <w:bCs/>
          <w:i/>
          <w:iCs/>
          <w:sz w:val="22"/>
          <w:szCs w:val="22"/>
          <w:lang w:val="en-US" w:eastAsia="zh-CN"/>
        </w:rPr>
      </w:pPr>
      <w:r>
        <w:rPr>
          <w:rFonts w:hint="default" w:ascii="Times New Roman Bold Italic" w:hAnsi="Times New Roman Bold Italic" w:cs="Times New Roman Bold Italic"/>
          <w:b/>
          <w:bCs/>
          <w:i/>
          <w:iCs/>
          <w:sz w:val="22"/>
          <w:szCs w:val="22"/>
          <w:lang w:val="en-US"/>
        </w:rPr>
        <w:t xml:space="preserve">Observation </w:t>
      </w:r>
      <w:r>
        <w:rPr>
          <w:rFonts w:hint="eastAsia" w:ascii="Times New Roman Bold Italic" w:hAnsi="Times New Roman Bold Italic" w:cs="Times New Roman Bold Italic"/>
          <w:b/>
          <w:bCs/>
          <w:i/>
          <w:iCs/>
          <w:sz w:val="22"/>
          <w:szCs w:val="22"/>
          <w:lang w:val="en-US" w:eastAsia="zh-CN"/>
        </w:rPr>
        <w:t>35</w:t>
      </w:r>
      <w:r>
        <w:rPr>
          <w:rFonts w:hint="default" w:ascii="Times New Roman Bold Italic" w:hAnsi="Times New Roman Bold Italic" w:cs="Times New Roman Bold Italic"/>
          <w:b/>
          <w:bCs/>
          <w:i/>
          <w:iCs/>
          <w:sz w:val="22"/>
          <w:szCs w:val="22"/>
          <w:lang w:val="en-US"/>
        </w:rPr>
        <w:t xml:space="preserve">: </w:t>
      </w:r>
      <w:r>
        <w:rPr>
          <w:rFonts w:hint="default" w:ascii="Times New Roman Bold Italic" w:hAnsi="Times New Roman Bold Italic" w:cs="Times New Roman Bold Italic"/>
          <w:b/>
          <w:bCs/>
          <w:i/>
          <w:iCs/>
          <w:sz w:val="22"/>
          <w:szCs w:val="22"/>
          <w:lang w:val="en-US" w:eastAsia="zh-CN"/>
        </w:rPr>
        <w:t xml:space="preserve">Two architectures for WUR at UE side could be discovered, </w:t>
      </w:r>
    </w:p>
    <w:p w14:paraId="1AE17CAB">
      <w:pPr>
        <w:pStyle w:val="5"/>
        <w:numPr>
          <w:ilvl w:val="0"/>
          <w:numId w:val="30"/>
        </w:numPr>
        <w:ind w:left="420" w:leftChars="0" w:hanging="420" w:firstLineChars="0"/>
        <w:rPr>
          <w:rFonts w:hint="default" w:ascii="Times New Roman Bold Italic" w:hAnsi="Times New Roman Bold Italic" w:cs="Times New Roman Bold Italic"/>
          <w:b/>
          <w:bCs/>
          <w:i/>
          <w:iCs/>
          <w:sz w:val="22"/>
          <w:szCs w:val="22"/>
          <w:lang w:val="en-US" w:eastAsia="zh-CN"/>
        </w:rPr>
      </w:pPr>
      <w:r>
        <w:rPr>
          <w:rFonts w:hint="default" w:ascii="Times New Roman Bold Italic" w:hAnsi="Times New Roman Bold Italic" w:cs="Times New Roman Bold Italic"/>
          <w:b/>
          <w:bCs/>
          <w:i/>
          <w:iCs/>
          <w:sz w:val="22"/>
          <w:szCs w:val="22"/>
          <w:lang w:val="en-US"/>
        </w:rPr>
        <w:t>O</w:t>
      </w:r>
      <w:r>
        <w:rPr>
          <w:rFonts w:hint="default" w:ascii="Times New Roman Bold Italic" w:hAnsi="Times New Roman Bold Italic" w:cs="Times New Roman Bold Italic"/>
          <w:b/>
          <w:bCs/>
          <w:i/>
          <w:iCs/>
          <w:sz w:val="22"/>
          <w:szCs w:val="22"/>
        </w:rPr>
        <w:t>ne is a separate, dedicated WUR hardware block that continuously listens for WUS with ultra-low power consumption (as considered in Rel-18)</w:t>
      </w:r>
    </w:p>
    <w:p w14:paraId="4CDFC4BF">
      <w:pPr>
        <w:pStyle w:val="5"/>
        <w:numPr>
          <w:ilvl w:val="0"/>
          <w:numId w:val="30"/>
        </w:numPr>
        <w:ind w:left="420" w:leftChars="0" w:hanging="420" w:firstLineChars="0"/>
        <w:rPr>
          <w:rFonts w:hint="default" w:ascii="Times New Roman Bold Italic" w:hAnsi="Times New Roman Bold Italic" w:cs="Times New Roman Bold Italic"/>
          <w:b/>
          <w:bCs/>
          <w:i/>
          <w:iCs/>
          <w:sz w:val="22"/>
          <w:szCs w:val="22"/>
          <w:lang w:val="en-US" w:eastAsia="zh-CN"/>
        </w:rPr>
      </w:pPr>
      <w:r>
        <w:rPr>
          <w:rFonts w:hint="default" w:ascii="Times New Roman Bold Italic" w:hAnsi="Times New Roman Bold Italic" w:cs="Times New Roman Bold Italic"/>
          <w:b/>
          <w:bCs/>
          <w:i/>
          <w:iCs/>
          <w:sz w:val="22"/>
          <w:szCs w:val="22"/>
        </w:rPr>
        <w:t xml:space="preserve">Another </w:t>
      </w:r>
      <w:r>
        <w:rPr>
          <w:rFonts w:hint="default" w:ascii="Times New Roman Bold Italic" w:hAnsi="Times New Roman Bold Italic" w:cs="Times New Roman Bold Italic"/>
          <w:b/>
          <w:bCs/>
          <w:i/>
          <w:iCs/>
          <w:sz w:val="22"/>
          <w:szCs w:val="22"/>
          <w:lang w:val="en-US"/>
        </w:rPr>
        <w:t>one</w:t>
      </w:r>
      <w:r>
        <w:rPr>
          <w:rFonts w:hint="default" w:ascii="Times New Roman Bold Italic" w:hAnsi="Times New Roman Bold Italic" w:cs="Times New Roman Bold Italic"/>
          <w:b/>
          <w:bCs/>
          <w:i/>
          <w:iCs/>
          <w:sz w:val="22"/>
          <w:szCs w:val="22"/>
        </w:rPr>
        <w:t xml:space="preserve"> is a shared receiver approach, where the UE’s main RF chain is cleverly duty-cycled or a scaled-down version of it is used to monitor WUS.</w:t>
      </w:r>
    </w:p>
    <w:p w14:paraId="2F4B8CC6">
      <w:pPr>
        <w:pStyle w:val="5"/>
        <w:rPr>
          <w:sz w:val="22"/>
          <w:szCs w:val="22"/>
        </w:rPr>
      </w:pPr>
      <w:r>
        <w:rPr>
          <w:sz w:val="22"/>
          <w:szCs w:val="22"/>
        </w:rPr>
        <w:t>Commercial feasibility leans toward solutions that reuse existing technology</w:t>
      </w:r>
      <w:r>
        <w:rPr>
          <w:rFonts w:hint="default"/>
          <w:sz w:val="22"/>
          <w:szCs w:val="22"/>
          <w:lang w:val="en-US"/>
        </w:rPr>
        <w:t xml:space="preserve"> </w:t>
      </w:r>
      <w:r>
        <w:rPr>
          <w:sz w:val="22"/>
          <w:szCs w:val="22"/>
        </w:rPr>
        <w:t xml:space="preserve">since 6G devices will all support a certain minimal bandwidth and waveform, an OFDM WUS can be demodulated by a slightly modified version of the same receiver components. This avoids introducing entirely new radio chains and allows manufacturers to build on known designs. Moreover, by standardizing the </w:t>
      </w:r>
      <w:r>
        <w:rPr>
          <w:rFonts w:hint="default"/>
          <w:sz w:val="22"/>
          <w:szCs w:val="22"/>
          <w:lang w:val="en-US"/>
        </w:rPr>
        <w:t>LP-</w:t>
      </w:r>
      <w:r>
        <w:rPr>
          <w:sz w:val="22"/>
          <w:szCs w:val="22"/>
        </w:rPr>
        <w:t xml:space="preserve">WUS from </w:t>
      </w:r>
      <w:r>
        <w:rPr>
          <w:rFonts w:hint="default"/>
          <w:sz w:val="22"/>
          <w:szCs w:val="22"/>
          <w:lang w:val="en-US"/>
        </w:rPr>
        <w:t xml:space="preserve">6G </w:t>
      </w:r>
      <w:r>
        <w:rPr>
          <w:sz w:val="22"/>
          <w:szCs w:val="22"/>
        </w:rPr>
        <w:t>day</w:t>
      </w:r>
      <w:r>
        <w:rPr>
          <w:rFonts w:hint="default"/>
          <w:sz w:val="22"/>
          <w:szCs w:val="22"/>
          <w:lang w:val="en-US"/>
        </w:rPr>
        <w:t>-1</w:t>
      </w:r>
      <w:r>
        <w:rPr>
          <w:sz w:val="22"/>
          <w:szCs w:val="22"/>
        </w:rPr>
        <w:t xml:space="preserve">, the ecosystem (chipset, network vendors, operators) can align on this feature, increasing economies of scale. </w:t>
      </w:r>
    </w:p>
    <w:p w14:paraId="06B19056">
      <w:pPr>
        <w:rPr>
          <w:rFonts w:hint="default" w:ascii="Times New Roman Bold Italic" w:hAnsi="Times New Roman Bold Italic" w:eastAsia="宋体" w:cs="Times New Roman Bold Italic"/>
          <w:b/>
          <w:bCs/>
          <w:i/>
          <w:iCs/>
          <w:sz w:val="22"/>
          <w:szCs w:val="22"/>
          <w:lang w:val="en-US" w:eastAsia="zh-CN"/>
        </w:rPr>
      </w:pPr>
      <w:r>
        <w:rPr>
          <w:rFonts w:hint="default" w:ascii="Times New Roman Bold Italic" w:hAnsi="Times New Roman Bold Italic" w:cs="Times New Roman Bold Italic"/>
          <w:b/>
          <w:bCs/>
          <w:i/>
          <w:iCs/>
          <w:sz w:val="22"/>
          <w:szCs w:val="22"/>
          <w:lang w:val="en-US" w:eastAsia="zh-CN"/>
        </w:rPr>
        <w:t xml:space="preserve">Observation </w:t>
      </w:r>
      <w:r>
        <w:rPr>
          <w:rFonts w:hint="eastAsia" w:ascii="Times New Roman Bold Italic" w:hAnsi="Times New Roman Bold Italic" w:cs="Times New Roman Bold Italic"/>
          <w:b/>
          <w:bCs/>
          <w:i/>
          <w:iCs/>
          <w:sz w:val="22"/>
          <w:szCs w:val="22"/>
          <w:lang w:val="en-US" w:eastAsia="zh-CN"/>
        </w:rPr>
        <w:t>36</w:t>
      </w:r>
      <w:r>
        <w:rPr>
          <w:rFonts w:hint="default" w:ascii="Times New Roman Bold Italic" w:hAnsi="Times New Roman Bold Italic" w:cs="Times New Roman Bold Italic"/>
          <w:b/>
          <w:bCs/>
          <w:i/>
          <w:iCs/>
          <w:sz w:val="22"/>
          <w:szCs w:val="22"/>
          <w:lang w:val="en-US" w:eastAsia="zh-CN"/>
        </w:rPr>
        <w:t xml:space="preserve">: For WUR at UE side, reusing existing hardware technology to avoid extra complexity or cost can support a </w:t>
      </w:r>
      <w:r>
        <w:rPr>
          <w:sz w:val="22"/>
          <w:szCs w:val="22"/>
        </w:rPr>
        <w:t>c</w:t>
      </w:r>
      <w:r>
        <w:rPr>
          <w:rFonts w:hint="default" w:ascii="Times New Roman Bold Italic" w:hAnsi="Times New Roman Bold Italic" w:eastAsia="宋体" w:cs="Times New Roman Bold Italic"/>
          <w:b/>
          <w:bCs/>
          <w:i/>
          <w:iCs/>
          <w:sz w:val="22"/>
          <w:szCs w:val="22"/>
          <w:lang w:val="en-US" w:eastAsia="zh-CN"/>
        </w:rPr>
        <w:t xml:space="preserve">ertain minimal bandwidth and waveform for </w:t>
      </w:r>
      <w:r>
        <w:rPr>
          <w:rFonts w:hint="default" w:ascii="Times New Roman Bold Italic" w:hAnsi="Times New Roman Bold Italic" w:cs="Times New Roman Bold Italic"/>
          <w:b/>
          <w:bCs/>
          <w:i/>
          <w:iCs/>
          <w:sz w:val="22"/>
          <w:szCs w:val="22"/>
          <w:lang w:val="en-US" w:eastAsia="zh-CN"/>
        </w:rPr>
        <w:t>lower-capability devices and eMBB devices</w:t>
      </w:r>
      <w:r>
        <w:rPr>
          <w:rFonts w:hint="default" w:ascii="Times New Roman Bold Italic" w:hAnsi="Times New Roman Bold Italic" w:eastAsia="宋体" w:cs="Times New Roman Bold Italic"/>
          <w:b/>
          <w:bCs/>
          <w:i/>
          <w:iCs/>
          <w:sz w:val="22"/>
          <w:szCs w:val="22"/>
          <w:lang w:val="en-US" w:eastAsia="zh-CN"/>
        </w:rPr>
        <w:t>.</w:t>
      </w:r>
    </w:p>
    <w:p w14:paraId="16B75DBC">
      <w:pPr>
        <w:rPr>
          <w:rFonts w:hint="default" w:ascii="Times New Roman Bold Italic" w:hAnsi="Times New Roman Bold Italic" w:eastAsia="宋体" w:cs="Times New Roman Bold Italic"/>
          <w:b/>
          <w:bCs/>
          <w:i/>
          <w:iCs/>
          <w:sz w:val="22"/>
          <w:szCs w:val="22"/>
          <w:lang w:val="en-US" w:eastAsia="zh-CN"/>
        </w:rPr>
      </w:pPr>
    </w:p>
    <w:p w14:paraId="35512EA1">
      <w:pPr>
        <w:rPr>
          <w:rFonts w:hint="default" w:ascii="Times New Roman Bold Italic" w:hAnsi="Times New Roman Bold Italic" w:eastAsia="宋体" w:cs="Times New Roman Bold Italic"/>
          <w:b/>
          <w:bCs/>
          <w:i/>
          <w:iCs/>
          <w:sz w:val="22"/>
          <w:szCs w:val="22"/>
          <w:lang w:val="en-US" w:eastAsia="zh-CN"/>
        </w:rPr>
      </w:pPr>
      <w:r>
        <w:rPr>
          <w:rFonts w:hint="default" w:ascii="Times New Roman Bold Italic" w:hAnsi="Times New Roman Bold Italic" w:eastAsia="宋体" w:cs="Times New Roman Bold Italic"/>
          <w:b/>
          <w:bCs/>
          <w:i/>
          <w:iCs/>
          <w:sz w:val="22"/>
          <w:szCs w:val="22"/>
          <w:lang w:val="en-US" w:eastAsia="zh-CN"/>
        </w:rPr>
        <w:t xml:space="preserve">Proposal </w:t>
      </w:r>
      <w:r>
        <w:rPr>
          <w:rFonts w:hint="eastAsia" w:ascii="Times New Roman Bold Italic" w:hAnsi="Times New Roman Bold Italic" w:cs="Times New Roman Bold Italic"/>
          <w:b/>
          <w:bCs/>
          <w:i/>
          <w:iCs/>
          <w:sz w:val="22"/>
          <w:szCs w:val="22"/>
          <w:lang w:val="en-US" w:eastAsia="zh-CN"/>
        </w:rPr>
        <w:t>32</w:t>
      </w:r>
      <w:r>
        <w:rPr>
          <w:rFonts w:hint="default" w:ascii="Times New Roman Bold Italic" w:hAnsi="Times New Roman Bold Italic" w:eastAsia="宋体" w:cs="Times New Roman Bold Italic"/>
          <w:b/>
          <w:bCs/>
          <w:i/>
          <w:iCs/>
          <w:sz w:val="22"/>
          <w:szCs w:val="22"/>
          <w:lang w:val="en-US" w:eastAsia="zh-CN"/>
        </w:rPr>
        <w:t xml:space="preserve">: Consider at least two architectures with measurement or monitoring functionalities for </w:t>
      </w:r>
      <w:r>
        <w:rPr>
          <w:rFonts w:hint="default" w:ascii="Times New Roman Bold Italic" w:hAnsi="Times New Roman Bold Italic" w:cs="Times New Roman Bold Italic"/>
          <w:b/>
          <w:bCs/>
          <w:i/>
          <w:iCs/>
          <w:sz w:val="22"/>
          <w:szCs w:val="22"/>
          <w:lang w:val="en-US" w:eastAsia="zh-CN"/>
        </w:rPr>
        <w:t>LP-</w:t>
      </w:r>
      <w:r>
        <w:rPr>
          <w:rFonts w:hint="default" w:ascii="Times New Roman Bold Italic" w:hAnsi="Times New Roman Bold Italic" w:eastAsia="宋体" w:cs="Times New Roman Bold Italic"/>
          <w:b/>
          <w:bCs/>
          <w:i/>
          <w:iCs/>
          <w:sz w:val="22"/>
          <w:szCs w:val="22"/>
          <w:lang w:val="en-US" w:eastAsia="zh-CN"/>
        </w:rPr>
        <w:t>WUS aspects</w:t>
      </w:r>
    </w:p>
    <w:p w14:paraId="3416303F">
      <w:pPr>
        <w:pStyle w:val="5"/>
        <w:numPr>
          <w:ilvl w:val="0"/>
          <w:numId w:val="30"/>
        </w:numPr>
        <w:ind w:left="420" w:leftChars="0" w:hanging="420" w:firstLineChars="0"/>
        <w:rPr>
          <w:rFonts w:hint="default" w:ascii="Times New Roman Bold Italic" w:hAnsi="Times New Roman Bold Italic" w:cs="Times New Roman Bold Italic"/>
          <w:b/>
          <w:bCs/>
          <w:i/>
          <w:iCs/>
          <w:sz w:val="22"/>
          <w:szCs w:val="22"/>
          <w:lang w:val="en-US" w:eastAsia="zh-CN"/>
        </w:rPr>
      </w:pPr>
      <w:r>
        <w:rPr>
          <w:rFonts w:hint="default" w:ascii="Times New Roman Bold Italic" w:hAnsi="Times New Roman Bold Italic" w:cs="Times New Roman Bold Italic"/>
          <w:b/>
          <w:bCs/>
          <w:i/>
          <w:iCs/>
          <w:sz w:val="22"/>
          <w:szCs w:val="22"/>
          <w:lang w:val="en-US"/>
        </w:rPr>
        <w:t>S</w:t>
      </w:r>
      <w:r>
        <w:rPr>
          <w:rFonts w:hint="default" w:ascii="Times New Roman Bold Italic" w:hAnsi="Times New Roman Bold Italic" w:cs="Times New Roman Bold Italic"/>
          <w:b/>
          <w:bCs/>
          <w:i/>
          <w:iCs/>
          <w:sz w:val="22"/>
          <w:szCs w:val="22"/>
        </w:rPr>
        <w:t>eparate</w:t>
      </w:r>
      <w:r>
        <w:rPr>
          <w:rFonts w:hint="default" w:ascii="Times New Roman Bold Italic" w:hAnsi="Times New Roman Bold Italic" w:cs="Times New Roman Bold Italic"/>
          <w:b/>
          <w:bCs/>
          <w:i/>
          <w:iCs/>
          <w:sz w:val="22"/>
          <w:szCs w:val="22"/>
          <w:lang w:val="en-US"/>
        </w:rPr>
        <w:t xml:space="preserve"> architecture for WUR and MR </w:t>
      </w:r>
      <w:r>
        <w:rPr>
          <w:rFonts w:hint="default" w:ascii="Times New Roman Bold Italic" w:hAnsi="Times New Roman Bold Italic" w:cs="Times New Roman Bold Italic"/>
          <w:b/>
          <w:bCs/>
          <w:i/>
          <w:iCs/>
          <w:sz w:val="22"/>
          <w:szCs w:val="22"/>
        </w:rPr>
        <w:t>as considered in Rel-18</w:t>
      </w:r>
    </w:p>
    <w:p w14:paraId="555A3867">
      <w:pPr>
        <w:pStyle w:val="5"/>
        <w:numPr>
          <w:ilvl w:val="0"/>
          <w:numId w:val="30"/>
        </w:numPr>
        <w:ind w:left="420" w:leftChars="0" w:hanging="420" w:firstLineChars="0"/>
        <w:rPr>
          <w:rFonts w:hint="default" w:ascii="Times New Roman Bold Italic" w:hAnsi="Times New Roman Bold Italic" w:eastAsia="宋体" w:cs="Times New Roman Bold Italic"/>
          <w:b/>
          <w:bCs/>
          <w:i/>
          <w:iCs/>
          <w:sz w:val="22"/>
          <w:szCs w:val="22"/>
          <w:lang w:val="en-US" w:eastAsia="zh-CN"/>
        </w:rPr>
      </w:pPr>
      <w:r>
        <w:rPr>
          <w:rFonts w:hint="default" w:ascii="Times New Roman Bold Italic" w:hAnsi="Times New Roman Bold Italic" w:cs="Times New Roman Bold Italic"/>
          <w:b/>
          <w:bCs/>
          <w:i/>
          <w:iCs/>
          <w:sz w:val="22"/>
          <w:szCs w:val="22"/>
          <w:lang w:val="en-US"/>
        </w:rPr>
        <w:t>Partially s</w:t>
      </w:r>
      <w:r>
        <w:rPr>
          <w:rFonts w:hint="default" w:ascii="Times New Roman Bold Italic" w:hAnsi="Times New Roman Bold Italic" w:cs="Times New Roman Bold Italic"/>
          <w:b/>
          <w:bCs/>
          <w:i/>
          <w:iCs/>
          <w:sz w:val="22"/>
          <w:szCs w:val="22"/>
        </w:rPr>
        <w:t>hared receiver</w:t>
      </w:r>
      <w:r>
        <w:rPr>
          <w:rFonts w:hint="default" w:ascii="Times New Roman Bold Italic" w:hAnsi="Times New Roman Bold Italic" w:cs="Times New Roman Bold Italic"/>
          <w:b/>
          <w:bCs/>
          <w:i/>
          <w:iCs/>
          <w:sz w:val="22"/>
          <w:szCs w:val="22"/>
          <w:lang w:val="en-US"/>
        </w:rPr>
        <w:t xml:space="preserve"> for WUR and MR to </w:t>
      </w:r>
      <w:r>
        <w:rPr>
          <w:rFonts w:hint="default" w:ascii="Times New Roman Bold Italic" w:hAnsi="Times New Roman Bold Italic" w:cs="Times New Roman Bold Italic"/>
          <w:b/>
          <w:bCs/>
          <w:i/>
          <w:iCs/>
          <w:sz w:val="22"/>
          <w:szCs w:val="22"/>
          <w:lang w:val="en-US" w:eastAsia="zh-CN"/>
        </w:rPr>
        <w:t xml:space="preserve">avoid extra complexity or cost, which can support a </w:t>
      </w:r>
      <w:r>
        <w:rPr>
          <w:sz w:val="22"/>
          <w:szCs w:val="22"/>
        </w:rPr>
        <w:t>c</w:t>
      </w:r>
      <w:r>
        <w:rPr>
          <w:rFonts w:hint="default" w:ascii="Times New Roman Bold Italic" w:hAnsi="Times New Roman Bold Italic" w:eastAsia="宋体" w:cs="Times New Roman Bold Italic"/>
          <w:b/>
          <w:bCs/>
          <w:i/>
          <w:iCs/>
          <w:sz w:val="22"/>
          <w:szCs w:val="22"/>
          <w:lang w:val="en-US" w:eastAsia="zh-CN"/>
        </w:rPr>
        <w:t>ertain minimal bandwidth and waveform for all device types.</w:t>
      </w:r>
    </w:p>
    <w:p w14:paraId="45F68D59">
      <w:pPr>
        <w:rPr>
          <w:rFonts w:ascii="Times New Roman Bold Italic" w:hAnsi="Times New Roman Bold Italic" w:cs="Times New Roman Bold Italic"/>
          <w:b/>
          <w:bCs/>
          <w:i/>
          <w:iCs/>
          <w:lang w:eastAsia="zh-CN"/>
        </w:rPr>
      </w:pPr>
    </w:p>
    <w:p w14:paraId="2357D6A8">
      <w:pPr>
        <w:pStyle w:val="6"/>
        <w:numPr>
          <w:ilvl w:val="3"/>
          <w:numId w:val="0"/>
        </w:numPr>
        <w:ind w:leftChars="0"/>
        <w:outlineLvl w:val="3"/>
        <w:rPr>
          <w:rFonts w:hint="default"/>
          <w:lang w:val="en-US" w:eastAsia="zh-CN"/>
        </w:rPr>
      </w:pPr>
      <w:r>
        <w:rPr>
          <w:rFonts w:hint="default"/>
          <w:lang w:val="en-US" w:eastAsia="zh-CN"/>
        </w:rPr>
        <w:t xml:space="preserve">5.2.4.2 Other DL WUS </w:t>
      </w:r>
      <w:r>
        <w:rPr>
          <w:rFonts w:hint="eastAsia"/>
          <w:lang w:eastAsia="zh-CN"/>
        </w:rPr>
        <w:t>scheme</w:t>
      </w:r>
      <w:r>
        <w:rPr>
          <w:rFonts w:hint="default"/>
          <w:lang w:val="en-US" w:eastAsia="zh-CN"/>
        </w:rPr>
        <w:t>s</w:t>
      </w:r>
    </w:p>
    <w:p w14:paraId="03FF8D86">
      <w:pPr>
        <w:rPr>
          <w:rFonts w:eastAsiaTheme="minorEastAsia"/>
          <w:bCs/>
          <w:szCs w:val="20"/>
          <w:lang w:eastAsia="zh-CN"/>
        </w:rPr>
      </w:pPr>
      <w:r>
        <w:rPr>
          <w:rFonts w:eastAsiaTheme="minorEastAsia"/>
          <w:bCs/>
          <w:szCs w:val="20"/>
          <w:lang w:eastAsia="zh-CN"/>
        </w:rPr>
        <w:t xml:space="preserve">In NR, DRX and eDRX mechanisms were introduced in different </w:t>
      </w:r>
      <w:r>
        <w:rPr>
          <w:rFonts w:hint="eastAsia" w:eastAsiaTheme="minorEastAsia"/>
          <w:bCs/>
          <w:szCs w:val="20"/>
          <w:lang w:eastAsia="zh-CN"/>
        </w:rPr>
        <w:t>r</w:t>
      </w:r>
      <w:r>
        <w:rPr>
          <w:rFonts w:eastAsiaTheme="minorEastAsia"/>
          <w:bCs/>
          <w:szCs w:val="20"/>
          <w:lang w:eastAsia="zh-CN"/>
        </w:rPr>
        <w:t>eleases to reduce UE power consumption. At present, the two mechanisms are largely overlapping: both reduce UE paging monitoring time within a cycle to achieve power saving, with the only distinction being that eDRX supports longer cycles with an additional PTW. Similarly, PEI and LP-WUS in different releases are also overlapping. The difference lies only in the type of indication signal and the receiver used by the UE to detect it.</w:t>
      </w:r>
      <w:r>
        <w:rPr>
          <w:rFonts w:hint="eastAsia" w:eastAsiaTheme="minorEastAsia"/>
          <w:bCs/>
          <w:szCs w:val="20"/>
          <w:lang w:eastAsia="zh-CN"/>
        </w:rPr>
        <w:t xml:space="preserve"> </w:t>
      </w:r>
      <w:r>
        <w:t>Such duplication results in management complexity and signalling overhead for both UE and network. Concretely, separate procedures and parameters are required in the NAS and RRC layers.</w:t>
      </w:r>
    </w:p>
    <w:p w14:paraId="4D2CA58C">
      <w:pPr>
        <w:rPr>
          <w:rFonts w:ascii="Times New Roman Bold Italic" w:hAnsi="Times New Roman Bold Italic" w:cs="Times New Roman Bold Italic" w:eastAsiaTheme="minorEastAsia"/>
          <w:b/>
          <w:i/>
          <w:iCs/>
          <w:szCs w:val="20"/>
          <w:lang w:eastAsia="zh-CN"/>
        </w:rPr>
      </w:pPr>
      <w:r>
        <w:rPr>
          <w:rFonts w:ascii="Times New Roman Bold Italic" w:hAnsi="Times New Roman Bold Italic" w:cs="Times New Roman Bold Italic" w:eastAsiaTheme="minorEastAsia"/>
          <w:b/>
          <w:i/>
          <w:iCs/>
          <w:szCs w:val="20"/>
          <w:lang w:eastAsia="zh-CN"/>
        </w:rPr>
        <w:t xml:space="preserve">Observation </w:t>
      </w:r>
      <w:r>
        <w:rPr>
          <w:rFonts w:hint="eastAsia" w:ascii="Times New Roman Bold Italic" w:hAnsi="Times New Roman Bold Italic" w:cs="Times New Roman Bold Italic" w:eastAsiaTheme="minorEastAsia"/>
          <w:b/>
          <w:i/>
          <w:iCs/>
          <w:szCs w:val="20"/>
          <w:lang w:val="en-US" w:eastAsia="zh-CN"/>
        </w:rPr>
        <w:t>37</w:t>
      </w:r>
      <w:r>
        <w:rPr>
          <w:rFonts w:ascii="Times New Roman Bold Italic" w:hAnsi="Times New Roman Bold Italic" w:cs="Times New Roman Bold Italic" w:eastAsiaTheme="minorEastAsia"/>
          <w:b/>
          <w:i/>
          <w:iCs/>
          <w:szCs w:val="20"/>
          <w:lang w:eastAsia="zh-CN"/>
        </w:rPr>
        <w:t>: The DRX or PEI/LP-WUS mechanisms have similar functionalities, which results in system complexity.</w:t>
      </w:r>
    </w:p>
    <w:p w14:paraId="1551E15A">
      <w:pPr>
        <w:rPr>
          <w:rFonts w:eastAsiaTheme="minorEastAsia"/>
          <w:bCs/>
          <w:szCs w:val="20"/>
          <w:lang w:eastAsia="zh-CN"/>
        </w:rPr>
      </w:pPr>
      <w:r>
        <w:rPr>
          <w:rFonts w:eastAsiaTheme="minorEastAsia"/>
          <w:bCs/>
          <w:szCs w:val="20"/>
          <w:lang w:eastAsia="zh-CN"/>
        </w:rPr>
        <w:t>In 6G, mechanisms similar to DRX/eDRX and PEI/LP-WUS should continue to be supported to ensure efficient power control for paging monitoring in NON-CONNECTED states. These mechanisms have demonstrated clear benefits in LTE and NR for extending UE battery life and reducing network energy consumption.</w:t>
      </w:r>
      <w:r>
        <w:t xml:space="preserve"> However, </w:t>
      </w:r>
      <w:r>
        <w:rPr>
          <w:rFonts w:eastAsiaTheme="minorEastAsia"/>
          <w:bCs/>
          <w:szCs w:val="20"/>
          <w:lang w:eastAsia="zh-CN"/>
        </w:rPr>
        <w:t xml:space="preserve">the system complexity proposed above should be avoided to achieve both </w:t>
      </w:r>
      <w:bookmarkStart w:id="20" w:name="_Hlk209767031"/>
      <w:r>
        <w:rPr>
          <w:rFonts w:eastAsiaTheme="minorEastAsia"/>
          <w:bCs/>
          <w:szCs w:val="20"/>
          <w:lang w:eastAsia="zh-CN"/>
        </w:rPr>
        <w:t>simplified protocol implementation</w:t>
      </w:r>
      <w:bookmarkEnd w:id="20"/>
      <w:r>
        <w:rPr>
          <w:rFonts w:eastAsiaTheme="minorEastAsia"/>
          <w:bCs/>
          <w:szCs w:val="20"/>
          <w:lang w:eastAsia="zh-CN"/>
        </w:rPr>
        <w:t xml:space="preserve"> and power saving.</w:t>
      </w:r>
    </w:p>
    <w:p w14:paraId="01103E3B">
      <w:pPr>
        <w:rPr>
          <w:rFonts w:hint="default" w:ascii="Times New Roman Bold Italic" w:hAnsi="Times New Roman Bold Italic" w:cs="Times New Roman Bold Italic"/>
          <w:b/>
          <w:bCs/>
          <w:i/>
          <w:iCs/>
          <w:lang w:val="en-US" w:eastAsia="zh-CN"/>
        </w:rPr>
      </w:pPr>
      <w:r>
        <w:rPr>
          <w:rFonts w:ascii="Times New Roman Bold Italic" w:hAnsi="Times New Roman Bold Italic" w:cs="Times New Roman Bold Italic"/>
          <w:b/>
          <w:bCs/>
          <w:i/>
          <w:iCs/>
          <w:lang w:eastAsia="zh-CN"/>
        </w:rPr>
        <w:t xml:space="preserve">Proposal </w:t>
      </w:r>
      <w:r>
        <w:rPr>
          <w:rFonts w:hint="eastAsia" w:ascii="Times New Roman Bold Italic" w:hAnsi="Times New Roman Bold Italic" w:cs="Times New Roman Bold Italic"/>
          <w:b/>
          <w:bCs/>
          <w:i/>
          <w:iCs/>
          <w:lang w:val="en-US" w:eastAsia="zh-CN"/>
        </w:rPr>
        <w:t>33</w:t>
      </w:r>
      <w:r>
        <w:rPr>
          <w:rFonts w:ascii="Times New Roman Bold Italic" w:hAnsi="Times New Roman Bold Italic" w:cs="Times New Roman Bold Italic"/>
          <w:b/>
          <w:bCs/>
          <w:i/>
          <w:iCs/>
          <w:lang w:eastAsia="zh-CN"/>
        </w:rPr>
        <w:t xml:space="preserve">: </w:t>
      </w:r>
      <w:r>
        <w:rPr>
          <w:rFonts w:ascii="Times New Roman Bold Italic" w:hAnsi="Times New Roman Bold Italic" w:eastAsia="等线" w:cs="Times New Roman Bold Italic"/>
          <w:b/>
          <w:bCs/>
          <w:i/>
          <w:iCs/>
          <w:szCs w:val="20"/>
          <w:lang w:eastAsia="zh-CN"/>
        </w:rPr>
        <w:t>DRX and PEI/LP-WUS mechanisms should be supported in a simplified manner to achieve both power saving and simplified protocol implementation</w:t>
      </w:r>
      <w:r>
        <w:rPr>
          <w:rFonts w:hint="default" w:ascii="Times New Roman Bold Italic" w:hAnsi="Times New Roman Bold Italic" w:eastAsia="等线" w:cs="Times New Roman Bold Italic"/>
          <w:b/>
          <w:bCs/>
          <w:i/>
          <w:iCs/>
          <w:szCs w:val="20"/>
          <w:lang w:val="en-US" w:eastAsia="zh-CN"/>
        </w:rPr>
        <w:t>.</w:t>
      </w:r>
    </w:p>
    <w:p w14:paraId="0FAB98B4">
      <w:pPr>
        <w:rPr>
          <w:lang w:eastAsia="zh-CN"/>
        </w:rPr>
      </w:pPr>
    </w:p>
    <w:p w14:paraId="213F9488">
      <w:pPr>
        <w:pStyle w:val="4"/>
        <w:numPr>
          <w:ilvl w:val="2"/>
          <w:numId w:val="0"/>
        </w:numPr>
        <w:tabs>
          <w:tab w:val="clear" w:pos="720"/>
        </w:tabs>
        <w:ind w:leftChars="0"/>
        <w:rPr>
          <w:lang w:eastAsia="zh-CN"/>
        </w:rPr>
      </w:pPr>
      <w:r>
        <w:rPr>
          <w:rFonts w:hint="default"/>
          <w:lang w:val="en-US" w:eastAsia="zh-CN"/>
        </w:rPr>
        <w:t xml:space="preserve">5.2.5 </w:t>
      </w:r>
      <w:r>
        <w:rPr>
          <w:lang w:eastAsia="zh-CN"/>
        </w:rPr>
        <w:t>Measurement enhancement</w:t>
      </w:r>
    </w:p>
    <w:p w14:paraId="6C472611">
      <w:pPr>
        <w:rPr>
          <w:lang w:eastAsia="zh-CN"/>
        </w:rPr>
      </w:pPr>
      <w:r>
        <w:rPr>
          <w:lang w:eastAsia="zh-CN"/>
        </w:rPr>
        <w:t>In 5G, measurement design for energy saving mainly revolves around discontinuous monitoring of reference signals (such as CSI-RS and SSB), adaptive measurement gaps, and assistance information from UEs to reduce redundant scanning. These designs already demonstrated that continuous and dense measurement activity can drain UE batteries and also waste network resources. Looking toward 6G, the measurement problem becomes more complex because of expanded frequency ranges (including FR3), denser multi-carrier operation, and highly heterogeneous devices from massive IoT sensors to latency-sensitive XR terminals.</w:t>
      </w:r>
    </w:p>
    <w:p w14:paraId="5C550A38">
      <w:pPr>
        <w:rPr>
          <w:lang w:eastAsia="zh-CN"/>
        </w:rPr>
      </w:pPr>
      <w:r>
        <w:rPr>
          <w:lang w:eastAsia="zh-CN"/>
        </w:rPr>
        <w:t xml:space="preserve">Several technical issues can be anticipated. </w:t>
      </w:r>
    </w:p>
    <w:p w14:paraId="05FCDB06">
      <w:pPr>
        <w:numPr>
          <w:ilvl w:val="0"/>
          <w:numId w:val="31"/>
        </w:numPr>
        <w:rPr>
          <w:lang w:eastAsia="zh-CN"/>
        </w:rPr>
      </w:pPr>
      <w:r>
        <w:rPr>
          <w:lang w:eastAsia="zh-CN"/>
        </w:rPr>
        <w:t xml:space="preserve">First, the overhead problem: 6G may require measurements across many bands, beams, and carriers, and repeating today’s frequent CSI/SSB measurements would be prohibitively power-hungry. </w:t>
      </w:r>
    </w:p>
    <w:p w14:paraId="0C9A3BC1">
      <w:pPr>
        <w:numPr>
          <w:ilvl w:val="0"/>
          <w:numId w:val="31"/>
        </w:numPr>
        <w:rPr>
          <w:lang w:eastAsia="zh-CN"/>
        </w:rPr>
      </w:pPr>
      <w:r>
        <w:rPr>
          <w:lang w:eastAsia="zh-CN"/>
        </w:rPr>
        <w:t xml:space="preserve">Second, alignment challenges: current measurements are not always synchronized with DRX/DTX or cell sleep cycles, leading to situations where UEs wake to measure signals that are not relevant, undermining energy savings. </w:t>
      </w:r>
    </w:p>
    <w:p w14:paraId="275458EA">
      <w:pPr>
        <w:numPr>
          <w:ilvl w:val="0"/>
          <w:numId w:val="31"/>
        </w:numPr>
        <w:rPr>
          <w:lang w:eastAsia="zh-CN"/>
        </w:rPr>
      </w:pPr>
      <w:r>
        <w:rPr>
          <w:lang w:eastAsia="zh-CN"/>
        </w:rPr>
        <w:t xml:space="preserve">Third, QoS and capability mismatch: devices with very different capabilities (e.g. </w:t>
      </w:r>
      <w:r>
        <w:rPr>
          <w:rFonts w:hint="eastAsia"/>
          <w:lang w:eastAsia="zh-CN"/>
        </w:rPr>
        <w:t>～3MHz UE</w:t>
      </w:r>
      <w:r>
        <w:rPr>
          <w:lang w:eastAsia="zh-CN"/>
        </w:rPr>
        <w:t xml:space="preserve"> vs. advanced handsets) may be forced to follow uniform measurement patterns, wasting energy or missing accuracy. </w:t>
      </w:r>
    </w:p>
    <w:p w14:paraId="5D7A9A0D">
      <w:pPr>
        <w:numPr>
          <w:ilvl w:val="0"/>
          <w:numId w:val="31"/>
        </w:numPr>
        <w:rPr>
          <w:lang w:eastAsia="zh-CN"/>
        </w:rPr>
      </w:pPr>
      <w:r>
        <w:rPr>
          <w:lang w:eastAsia="zh-CN"/>
        </w:rPr>
        <w:t>Finally, cross-domain integration will be harder, as sensing, positioning, and communication functions converge, creating measurement demands that may conflict with energy-saving goals.</w:t>
      </w:r>
    </w:p>
    <w:p w14:paraId="362F35A2">
      <w:pPr>
        <w:rPr>
          <w:rFonts w:ascii="Times New Roman Bold Italic" w:hAnsi="Times New Roman Bold Italic" w:cs="Times New Roman Bold Italic"/>
          <w:b/>
          <w:bCs/>
          <w:i/>
          <w:iCs/>
          <w:lang w:eastAsia="zh-CN"/>
        </w:rPr>
      </w:pPr>
      <w:r>
        <w:rPr>
          <w:rFonts w:hint="eastAsia"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3</w:t>
      </w:r>
      <w:r>
        <w:rPr>
          <w:rFonts w:hint="eastAsia" w:ascii="Times New Roman Bold Italic" w:hAnsi="Times New Roman Bold Italic" w:cs="Times New Roman Bold Italic"/>
          <w:b/>
          <w:bCs/>
          <w:i/>
          <w:iCs/>
          <w:lang w:val="en-US" w:eastAsia="zh-CN"/>
        </w:rPr>
        <w:t>8</w:t>
      </w:r>
      <w:r>
        <w:rPr>
          <w:rFonts w:hint="eastAsia" w:ascii="Times New Roman Bold Italic" w:hAnsi="Times New Roman Bold Italic" w:cs="Times New Roman Bold Italic"/>
          <w:b/>
          <w:bCs/>
          <w:i/>
          <w:iCs/>
          <w:lang w:eastAsia="zh-CN"/>
        </w:rPr>
        <w:t>：6G measurement for</w:t>
      </w:r>
      <w:r>
        <w:rPr>
          <w:rFonts w:ascii="Times New Roman Bold Italic" w:hAnsi="Times New Roman Bold Italic" w:cs="Times New Roman Bold Italic"/>
          <w:b/>
          <w:bCs/>
          <w:i/>
          <w:iCs/>
          <w:lang w:eastAsia="zh-CN"/>
        </w:rPr>
        <w:t xml:space="preserve"> energy efficiency</w:t>
      </w:r>
      <w:r>
        <w:rPr>
          <w:rFonts w:hint="eastAsia" w:ascii="Times New Roman Bold Italic" w:hAnsi="Times New Roman Bold Italic" w:cs="Times New Roman Bold Italic"/>
          <w:b/>
          <w:bCs/>
          <w:i/>
          <w:iCs/>
          <w:lang w:eastAsia="zh-CN"/>
        </w:rPr>
        <w:t xml:space="preserve"> faces excessive overhead, poor alignment with DRX/DTX, device capability mismatches, and integration conflicts with sensing and positioning.</w:t>
      </w:r>
    </w:p>
    <w:p w14:paraId="442A0F65">
      <w:pPr>
        <w:rPr>
          <w:rFonts w:ascii="Times New Roman Bold Italic" w:hAnsi="Times New Roman Bold Italic" w:cs="Times New Roman Bold Italic"/>
          <w:b/>
          <w:bCs/>
          <w:i/>
          <w:iCs/>
          <w:lang w:eastAsia="zh-CN"/>
        </w:rPr>
      </w:pPr>
    </w:p>
    <w:p w14:paraId="22A0BF19">
      <w:pPr>
        <w:pStyle w:val="4"/>
        <w:numPr>
          <w:ilvl w:val="2"/>
          <w:numId w:val="0"/>
        </w:numPr>
        <w:tabs>
          <w:tab w:val="clear" w:pos="720"/>
        </w:tabs>
        <w:ind w:leftChars="0"/>
        <w:rPr>
          <w:lang w:eastAsia="zh-CN"/>
        </w:rPr>
      </w:pPr>
      <w:r>
        <w:rPr>
          <w:rFonts w:hint="default"/>
          <w:lang w:val="en-US" w:eastAsia="zh-CN"/>
        </w:rPr>
        <w:t xml:space="preserve">5.2.6 </w:t>
      </w:r>
      <w:r>
        <w:rPr>
          <w:lang w:eastAsia="zh-CN"/>
        </w:rPr>
        <w:t>Scalability of frequency domain</w:t>
      </w:r>
      <w:r>
        <w:rPr>
          <w:rFonts w:hint="eastAsia"/>
          <w:lang w:val="en-US" w:eastAsia="zh-CN"/>
        </w:rPr>
        <w:t xml:space="preserve"> </w:t>
      </w:r>
    </w:p>
    <w:p w14:paraId="3740E7EB">
      <w:pPr>
        <w:rPr>
          <w:lang w:eastAsia="zh-CN"/>
        </w:rPr>
      </w:pPr>
      <w:r>
        <w:rPr>
          <w:rFonts w:hint="eastAsia"/>
          <w:lang w:eastAsia="zh-CN"/>
        </w:rPr>
        <w:t xml:space="preserve">Besides reducing </w:t>
      </w:r>
      <w:r>
        <w:rPr>
          <w:lang w:eastAsia="zh-CN"/>
        </w:rPr>
        <w:t>always-on transmissions</w:t>
      </w:r>
      <w:r>
        <w:rPr>
          <w:rFonts w:hint="eastAsia"/>
          <w:lang w:eastAsia="zh-CN"/>
        </w:rPr>
        <w:t xml:space="preserve">, 6G </w:t>
      </w:r>
      <w:r>
        <w:rPr>
          <w:lang w:eastAsia="zh-CN"/>
        </w:rPr>
        <w:t xml:space="preserve">is </w:t>
      </w:r>
      <w:r>
        <w:rPr>
          <w:rFonts w:hint="eastAsia"/>
          <w:lang w:eastAsia="zh-CN"/>
        </w:rPr>
        <w:t xml:space="preserve">also </w:t>
      </w:r>
      <w:r>
        <w:rPr>
          <w:lang w:eastAsia="zh-CN"/>
        </w:rPr>
        <w:t xml:space="preserve">exploring new frequency-domain strategies to further </w:t>
      </w:r>
      <w:r>
        <w:rPr>
          <w:rFonts w:hint="eastAsia"/>
          <w:lang w:eastAsia="zh-CN"/>
        </w:rPr>
        <w:t>improve the</w:t>
      </w:r>
      <w:r>
        <w:rPr>
          <w:lang w:eastAsia="zh-CN"/>
        </w:rPr>
        <w:t xml:space="preserve"> energy </w:t>
      </w:r>
      <w:r>
        <w:rPr>
          <w:rFonts w:hint="eastAsia"/>
          <w:lang w:eastAsia="zh-CN"/>
        </w:rPr>
        <w:t>efficiency.</w:t>
      </w:r>
      <w:r>
        <w:t xml:space="preserve"> </w:t>
      </w:r>
      <w:r>
        <w:rPr>
          <w:rFonts w:hint="eastAsia"/>
          <w:lang w:eastAsia="zh-CN"/>
        </w:rPr>
        <w:t>D</w:t>
      </w:r>
      <w:r>
        <w:rPr>
          <w:lang w:eastAsia="zh-CN"/>
        </w:rPr>
        <w:t xml:space="preserve">ynamically adapting how </w:t>
      </w:r>
      <w:r>
        <w:rPr>
          <w:rFonts w:hint="eastAsia"/>
          <w:lang w:eastAsia="zh-CN"/>
        </w:rPr>
        <w:t xml:space="preserve">the </w:t>
      </w:r>
      <w:r>
        <w:rPr>
          <w:lang w:eastAsia="zh-CN"/>
        </w:rPr>
        <w:t xml:space="preserve">spectrum is active and how it is used can significantly improve energy performance for both </w:t>
      </w:r>
      <w:r>
        <w:rPr>
          <w:rFonts w:hint="eastAsia"/>
          <w:lang w:eastAsia="zh-CN"/>
        </w:rPr>
        <w:t xml:space="preserve">UE and network. </w:t>
      </w:r>
      <w:r>
        <w:rPr>
          <w:lang w:eastAsia="zh-CN"/>
        </w:rPr>
        <w:t xml:space="preserve">5G and evolving 6G systems allow a cell or device to utilize multiple carriers simultaneously. </w:t>
      </w:r>
      <w:r>
        <w:rPr>
          <w:rFonts w:hint="eastAsia"/>
          <w:lang w:eastAsia="zh-CN"/>
        </w:rPr>
        <w:t>M</w:t>
      </w:r>
      <w:r>
        <w:rPr>
          <w:lang w:eastAsia="zh-CN"/>
        </w:rPr>
        <w:t xml:space="preserve">ulti-carrier operation enables </w:t>
      </w:r>
      <w:r>
        <w:rPr>
          <w:rFonts w:hint="eastAsia"/>
          <w:lang w:eastAsia="zh-CN"/>
        </w:rPr>
        <w:t xml:space="preserve">the </w:t>
      </w:r>
      <w:r>
        <w:rPr>
          <w:lang w:eastAsia="zh-CN"/>
        </w:rPr>
        <w:t>flexib</w:t>
      </w:r>
      <w:r>
        <w:rPr>
          <w:rFonts w:hint="eastAsia"/>
          <w:lang w:eastAsia="zh-CN"/>
        </w:rPr>
        <w:t>ility</w:t>
      </w:r>
      <w:r>
        <w:rPr>
          <w:lang w:eastAsia="zh-CN"/>
        </w:rPr>
        <w:t xml:space="preserve"> of spectrum</w:t>
      </w:r>
      <w:r>
        <w:rPr>
          <w:rFonts w:hint="eastAsia"/>
          <w:lang w:eastAsia="zh-CN"/>
        </w:rPr>
        <w:t xml:space="preserve">. </w:t>
      </w:r>
    </w:p>
    <w:p w14:paraId="0A396FD7">
      <w:pPr>
        <w:rPr>
          <w:lang w:eastAsia="zh-CN"/>
        </w:rPr>
      </w:pPr>
      <w:r>
        <w:rPr>
          <w:lang w:eastAsia="zh-CN"/>
        </w:rPr>
        <w:t>In 5G-Advanced, RAN1 has been studying techniques for SCell dormancy, wherein secondary component carriers in carrier aggregation can be put to “sleep” when no data is scheduled. A dormant secondary cell carries no PDCCH</w:t>
      </w:r>
      <w:r>
        <w:rPr>
          <w:rFonts w:hint="eastAsia"/>
          <w:lang w:eastAsia="zh-CN"/>
        </w:rPr>
        <w:t xml:space="preserve">, </w:t>
      </w:r>
      <w:r>
        <w:rPr>
          <w:lang w:eastAsia="zh-CN"/>
        </w:rPr>
        <w:t>allowing the UE to shut off RF and baseband processing for that frequency</w:t>
      </w:r>
      <w:r>
        <w:rPr>
          <w:rFonts w:hint="eastAsia"/>
          <w:lang w:eastAsia="zh-CN"/>
        </w:rPr>
        <w:t xml:space="preserve">. </w:t>
      </w:r>
      <w:r>
        <w:rPr>
          <w:lang w:eastAsia="zh-CN"/>
        </w:rPr>
        <w:t xml:space="preserve">This avoids the UE power </w:t>
      </w:r>
      <w:r>
        <w:rPr>
          <w:rFonts w:hint="eastAsia"/>
          <w:lang w:eastAsia="zh-CN"/>
        </w:rPr>
        <w:t>wasting</w:t>
      </w:r>
      <w:r>
        <w:rPr>
          <w:lang w:eastAsia="zh-CN"/>
        </w:rPr>
        <w:t xml:space="preserve"> of monitoring multiple carriers continuously.</w:t>
      </w:r>
      <w:r>
        <w:rPr>
          <w:rFonts w:hint="eastAsia"/>
          <w:lang w:eastAsia="zh-CN"/>
        </w:rPr>
        <w:t xml:space="preserve"> </w:t>
      </w:r>
      <w:r>
        <w:rPr>
          <w:lang w:eastAsia="zh-CN"/>
        </w:rPr>
        <w:t>I</w:t>
      </w:r>
      <w:r>
        <w:rPr>
          <w:rFonts w:hint="eastAsia"/>
          <w:lang w:eastAsia="zh-CN"/>
        </w:rPr>
        <w:t xml:space="preserve">n 6G, by the </w:t>
      </w:r>
      <w:r>
        <w:rPr>
          <w:lang w:eastAsia="zh-CN"/>
        </w:rPr>
        <w:t xml:space="preserve">strategies </w:t>
      </w:r>
      <w:r>
        <w:rPr>
          <w:rFonts w:hint="eastAsia"/>
          <w:lang w:eastAsia="zh-CN"/>
        </w:rPr>
        <w:t xml:space="preserve">of </w:t>
      </w:r>
      <w:r>
        <w:rPr>
          <w:lang w:eastAsia="zh-CN"/>
        </w:rPr>
        <w:t>multi-carrier</w:t>
      </w:r>
      <w:r>
        <w:rPr>
          <w:rFonts w:hint="eastAsia"/>
          <w:lang w:eastAsia="zh-CN"/>
        </w:rPr>
        <w:t xml:space="preserve"> management including d</w:t>
      </w:r>
      <w:r>
        <w:rPr>
          <w:lang w:eastAsia="zh-CN"/>
        </w:rPr>
        <w:t>ynamic multi-carrier activation/deactivation</w:t>
      </w:r>
      <w:r>
        <w:rPr>
          <w:rFonts w:hint="eastAsia"/>
          <w:lang w:eastAsia="zh-CN"/>
        </w:rPr>
        <w:t xml:space="preserve">/switching, it is expected to </w:t>
      </w:r>
      <w:r>
        <w:rPr>
          <w:lang w:eastAsia="zh-CN"/>
        </w:rPr>
        <w:t xml:space="preserve">scale bandwidth on demand, maintaining high throughput when needed but dropping </w:t>
      </w:r>
      <w:r>
        <w:rPr>
          <w:rFonts w:hint="eastAsia"/>
          <w:lang w:eastAsia="zh-CN"/>
        </w:rPr>
        <w:t>power consumption</w:t>
      </w:r>
      <w:r>
        <w:rPr>
          <w:lang w:eastAsia="zh-CN"/>
        </w:rPr>
        <w:t xml:space="preserve"> </w:t>
      </w:r>
      <w:r>
        <w:rPr>
          <w:rFonts w:hint="eastAsia"/>
          <w:lang w:eastAsia="zh-CN"/>
        </w:rPr>
        <w:t>when low traffic load.</w:t>
      </w:r>
    </w:p>
    <w:p w14:paraId="6CE39CAF">
      <w:pPr>
        <w:rPr>
          <w:lang w:eastAsia="zh-CN"/>
        </w:rPr>
      </w:pPr>
      <w:r>
        <w:rPr>
          <w:rFonts w:hint="eastAsia"/>
          <w:lang w:eastAsia="zh-CN"/>
        </w:rPr>
        <w:t>5G</w:t>
      </w:r>
      <w:r>
        <w:rPr>
          <w:lang w:eastAsia="zh-CN"/>
        </w:rPr>
        <w:t xml:space="preserve"> has introduced “SSB-less” </w:t>
      </w:r>
      <w:r>
        <w:rPr>
          <w:rFonts w:hint="eastAsia"/>
          <w:lang w:eastAsia="zh-CN"/>
        </w:rPr>
        <w:t xml:space="preserve">SCell </w:t>
      </w:r>
      <w:r>
        <w:rPr>
          <w:lang w:eastAsia="zh-CN"/>
        </w:rPr>
        <w:t>which</w:t>
      </w:r>
      <w:r>
        <w:rPr>
          <w:rFonts w:hint="eastAsia"/>
          <w:lang w:eastAsia="zh-CN"/>
        </w:rPr>
        <w:t xml:space="preserve"> </w:t>
      </w:r>
      <w:r>
        <w:rPr>
          <w:lang w:eastAsia="zh-CN"/>
        </w:rPr>
        <w:t>means not every carrier needs its own</w:t>
      </w:r>
      <w:r>
        <w:rPr>
          <w:rFonts w:hint="eastAsia"/>
          <w:lang w:eastAsia="zh-CN"/>
        </w:rPr>
        <w:t xml:space="preserve"> SSB. </w:t>
      </w:r>
      <w:r>
        <w:rPr>
          <w:lang w:eastAsia="zh-CN"/>
        </w:rPr>
        <w:t xml:space="preserve">Eliminating duplicate </w:t>
      </w:r>
      <w:r>
        <w:rPr>
          <w:rFonts w:hint="eastAsia"/>
          <w:lang w:eastAsia="zh-CN"/>
        </w:rPr>
        <w:t xml:space="preserve">common signals </w:t>
      </w:r>
      <w:r>
        <w:rPr>
          <w:lang w:eastAsia="zh-CN"/>
        </w:rPr>
        <w:t xml:space="preserve">on </w:t>
      </w:r>
      <w:r>
        <w:rPr>
          <w:rFonts w:hint="eastAsia"/>
          <w:lang w:eastAsia="zh-CN"/>
        </w:rPr>
        <w:t>each</w:t>
      </w:r>
      <w:r>
        <w:rPr>
          <w:lang w:eastAsia="zh-CN"/>
        </w:rPr>
        <w:t xml:space="preserve"> frequency band directly reduces gNB transmi</w:t>
      </w:r>
      <w:r>
        <w:rPr>
          <w:rFonts w:hint="eastAsia"/>
          <w:lang w:eastAsia="zh-CN"/>
        </w:rPr>
        <w:t>ssion</w:t>
      </w:r>
      <w:r>
        <w:rPr>
          <w:lang w:eastAsia="zh-CN"/>
        </w:rPr>
        <w:t xml:space="preserve"> and allows UEs to avoid constantly monitoring multiple bands, conserving energy on both sides</w:t>
      </w:r>
      <w:r>
        <w:rPr>
          <w:rFonts w:hint="eastAsia"/>
          <w:lang w:eastAsia="zh-CN"/>
        </w:rPr>
        <w:t xml:space="preserve">. </w:t>
      </w:r>
    </w:p>
    <w:p w14:paraId="2BC45F97">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3</w:t>
      </w:r>
      <w:r>
        <w:rPr>
          <w:rFonts w:hint="eastAsia" w:ascii="Times New Roman Bold Italic" w:hAnsi="Times New Roman Bold Italic" w:cs="Times New Roman Bold Italic"/>
          <w:b/>
          <w:bCs/>
          <w:i/>
          <w:iCs/>
          <w:lang w:val="en-US" w:eastAsia="zh-CN"/>
        </w:rPr>
        <w:t>9</w:t>
      </w:r>
      <w:r>
        <w:rPr>
          <w:rFonts w:ascii="Times New Roman Bold Italic" w:hAnsi="Times New Roman Bold Italic" w:cs="Times New Roman Bold Italic"/>
          <w:b/>
          <w:bCs/>
          <w:i/>
          <w:iCs/>
          <w:lang w:eastAsia="zh-CN"/>
        </w:rPr>
        <w:t>: For multi-carrier operation and single-cell multi-carrier deployment, scaling bandwidth on demand and eliminating duplicate common signals on each frequency band makes 6G systems more power-efficient.</w:t>
      </w:r>
    </w:p>
    <w:p w14:paraId="0F5BC5F4">
      <w:pPr>
        <w:rPr>
          <w:lang w:eastAsia="zh-CN"/>
        </w:rPr>
      </w:pPr>
      <w:r>
        <w:rPr>
          <w:rFonts w:hint="eastAsia"/>
          <w:lang w:eastAsia="zh-CN"/>
        </w:rPr>
        <w:t xml:space="preserve">NR </w:t>
      </w:r>
      <w:r>
        <w:rPr>
          <w:lang w:eastAsia="zh-CN"/>
        </w:rPr>
        <w:t xml:space="preserve">introduced the concept of </w:t>
      </w:r>
      <w:r>
        <w:rPr>
          <w:rFonts w:hint="eastAsia"/>
          <w:lang w:eastAsia="zh-CN"/>
        </w:rPr>
        <w:t xml:space="preserve">BWP </w:t>
      </w:r>
      <w:r>
        <w:rPr>
          <w:lang w:eastAsia="zh-CN"/>
        </w:rPr>
        <w:t>to allow UEs to operate on a subset of the full carrier bandwidth and thereby save power</w:t>
      </w:r>
      <w:r>
        <w:rPr>
          <w:rFonts w:hint="eastAsia"/>
          <w:lang w:eastAsia="zh-CN"/>
        </w:rPr>
        <w:t xml:space="preserve">. By using BWP, </w:t>
      </w:r>
      <w:r>
        <w:rPr>
          <w:lang w:eastAsia="zh-CN"/>
        </w:rPr>
        <w:t>the UE’s analog front-end (LNA, mixers, ADC) can be tuned to a narrower bandwidth and its baseband only processes a smaller FFT size, significantly reducing power consumption</w:t>
      </w:r>
      <w:r>
        <w:rPr>
          <w:rFonts w:hint="eastAsia"/>
          <w:lang w:eastAsia="zh-CN"/>
        </w:rPr>
        <w:t xml:space="preserve">. </w:t>
      </w:r>
      <w:r>
        <w:rPr>
          <w:lang w:eastAsia="zh-CN"/>
        </w:rPr>
        <w:t>I</w:t>
      </w:r>
      <w:r>
        <w:rPr>
          <w:rFonts w:hint="eastAsia"/>
          <w:lang w:eastAsia="zh-CN"/>
        </w:rPr>
        <w:t xml:space="preserve">n 6G, larger channel bandwidth could be supported. </w:t>
      </w:r>
      <w:r>
        <w:rPr>
          <w:lang w:eastAsia="zh-CN"/>
        </w:rPr>
        <w:t>F</w:t>
      </w:r>
      <w:r>
        <w:rPr>
          <w:rFonts w:hint="eastAsia"/>
          <w:lang w:eastAsia="zh-CN"/>
        </w:rPr>
        <w:t xml:space="preserve">rom the perspective of improving energy efficiency, the concept of BWP should be further considered in 6G system. </w:t>
      </w:r>
      <w:r>
        <w:rPr>
          <w:lang w:eastAsia="zh-CN"/>
        </w:rPr>
        <w:t>T</w:t>
      </w:r>
      <w:r>
        <w:rPr>
          <w:rFonts w:hint="eastAsia"/>
          <w:lang w:eastAsia="zh-CN"/>
        </w:rPr>
        <w:t xml:space="preserve">he </w:t>
      </w:r>
      <w:r>
        <w:rPr>
          <w:lang w:eastAsia="zh-CN"/>
        </w:rPr>
        <w:t>techniques</w:t>
      </w:r>
      <w:r>
        <w:rPr>
          <w:rFonts w:hint="eastAsia"/>
          <w:lang w:eastAsia="zh-CN"/>
        </w:rPr>
        <w:t xml:space="preserve"> of BWP in 6G would be more efficient and more </w:t>
      </w:r>
      <w:r>
        <w:rPr>
          <w:lang w:eastAsia="zh-CN"/>
        </w:rPr>
        <w:t>robust</w:t>
      </w:r>
      <w:r>
        <w:rPr>
          <w:rFonts w:hint="eastAsia"/>
          <w:lang w:eastAsia="zh-CN"/>
        </w:rPr>
        <w:t>.</w:t>
      </w:r>
    </w:p>
    <w:p w14:paraId="6EB0EF4A">
      <w:pPr>
        <w:rPr>
          <w:lang w:eastAsia="zh-CN"/>
        </w:rPr>
      </w:pPr>
      <w:r>
        <w:rPr>
          <w:lang w:eastAsia="zh-CN"/>
        </w:rPr>
        <w:t>The scalable frequency techniques discussed have direct implications on hardware and PHY design.</w:t>
      </w:r>
      <w:r>
        <w:rPr>
          <w:rFonts w:hint="eastAsia"/>
          <w:lang w:eastAsia="zh-CN"/>
        </w:rPr>
        <w:t xml:space="preserve"> </w:t>
      </w:r>
      <w:r>
        <w:rPr>
          <w:lang w:eastAsia="zh-CN"/>
        </w:rPr>
        <w:t>RAN1 will consider signaling that minimizes how often UEs need to switch bands or BWPs.</w:t>
      </w:r>
      <w:r>
        <w:rPr>
          <w:rFonts w:hint="eastAsia"/>
          <w:lang w:eastAsia="zh-CN"/>
        </w:rPr>
        <w:t xml:space="preserve"> </w:t>
      </w:r>
      <w:r>
        <w:rPr>
          <w:lang w:eastAsia="zh-CN"/>
        </w:rPr>
        <w:t xml:space="preserve">The scheduler may also consider the power cost </w:t>
      </w:r>
      <w:r>
        <w:rPr>
          <w:rFonts w:hint="eastAsia"/>
          <w:lang w:eastAsia="zh-CN"/>
        </w:rPr>
        <w:t>when</w:t>
      </w:r>
      <w:r>
        <w:rPr>
          <w:lang w:eastAsia="zh-CN"/>
        </w:rPr>
        <w:t xml:space="preserve"> assigning resources</w:t>
      </w:r>
      <w:r>
        <w:rPr>
          <w:rFonts w:hint="eastAsia"/>
          <w:lang w:eastAsia="zh-CN"/>
        </w:rPr>
        <w:t xml:space="preserve">. </w:t>
      </w:r>
    </w:p>
    <w:p w14:paraId="6396E3F7">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Proposal </w:t>
      </w:r>
      <w:r>
        <w:rPr>
          <w:rFonts w:hint="eastAsia" w:ascii="Times New Roman Bold Italic" w:hAnsi="Times New Roman Bold Italic" w:cs="Times New Roman Bold Italic"/>
          <w:b/>
          <w:bCs/>
          <w:i/>
          <w:iCs/>
          <w:lang w:val="en-US" w:eastAsia="zh-CN"/>
        </w:rPr>
        <w:t>34</w:t>
      </w:r>
      <w:r>
        <w:rPr>
          <w:rFonts w:ascii="Times New Roman Bold Italic" w:hAnsi="Times New Roman Bold Italic" w:cs="Times New Roman Bold Italic"/>
          <w:b/>
          <w:bCs/>
          <w:i/>
          <w:iCs/>
          <w:lang w:eastAsia="zh-CN"/>
        </w:rPr>
        <w:t>: Consider scalable frequency-domain techniques to improve energy efficiency for both device and network, including efficient multi-carrier management, BWP adaptation, flexible scheduling.</w:t>
      </w:r>
    </w:p>
    <w:p w14:paraId="18939BB3">
      <w:pPr>
        <w:pStyle w:val="4"/>
        <w:numPr>
          <w:ilvl w:val="2"/>
          <w:numId w:val="0"/>
        </w:numPr>
        <w:tabs>
          <w:tab w:val="clear" w:pos="720"/>
        </w:tabs>
        <w:ind w:leftChars="0"/>
        <w:rPr>
          <w:rFonts w:hint="default"/>
          <w:lang w:val="en-US" w:eastAsia="zh-CN"/>
        </w:rPr>
      </w:pPr>
      <w:r>
        <w:rPr>
          <w:rFonts w:hint="default"/>
          <w:lang w:val="en-US" w:eastAsia="zh-CN"/>
        </w:rPr>
        <w:t>5.2.</w:t>
      </w:r>
      <w:r>
        <w:rPr>
          <w:rFonts w:hint="eastAsia"/>
          <w:lang w:val="en-US" w:eastAsia="zh-CN"/>
        </w:rPr>
        <w:t>7</w:t>
      </w:r>
      <w:r>
        <w:rPr>
          <w:rFonts w:hint="default"/>
          <w:lang w:val="en-US" w:eastAsia="zh-CN"/>
        </w:rPr>
        <w:t xml:space="preserve"> </w:t>
      </w:r>
      <w:r>
        <w:rPr>
          <w:rFonts w:hint="eastAsia"/>
          <w:lang w:val="en-US" w:eastAsia="zh-CN"/>
        </w:rPr>
        <w:t>UAI scheme</w:t>
      </w:r>
      <w:r>
        <w:rPr>
          <w:rFonts w:hint="default"/>
          <w:lang w:val="en-US" w:eastAsia="zh-CN"/>
        </w:rPr>
        <w:t>s</w:t>
      </w:r>
    </w:p>
    <w:p w14:paraId="4D123F29">
      <w:pPr>
        <w:rPr>
          <w:rFonts w:hint="eastAsia" w:eastAsia="宋体"/>
          <w:lang w:val="en-US" w:eastAsia="zh-CN"/>
        </w:rPr>
      </w:pPr>
      <w:r>
        <w:rPr>
          <w:rFonts w:hint="eastAsia" w:eastAsia="宋体"/>
          <w:lang w:val="en-US" w:eastAsia="zh-CN"/>
        </w:rPr>
        <w:t xml:space="preserve">In </w:t>
      </w:r>
      <w:r>
        <w:rPr>
          <w:rFonts w:hint="default" w:eastAsia="宋体"/>
          <w:lang w:val="en-US" w:eastAsia="zh-CN"/>
        </w:rPr>
        <w:t>last meeting, companies have</w:t>
      </w:r>
      <w:r>
        <w:rPr>
          <w:rFonts w:hint="eastAsia" w:eastAsia="宋体"/>
          <w:lang w:val="en-US" w:eastAsia="zh-CN"/>
        </w:rPr>
        <w:t xml:space="preserve"> </w:t>
      </w:r>
      <w:r>
        <w:rPr>
          <w:rFonts w:hint="default" w:eastAsia="宋体"/>
          <w:lang w:val="en-US" w:eastAsia="zh-CN"/>
        </w:rPr>
        <w:t>discussed</w:t>
      </w:r>
      <w:r>
        <w:rPr>
          <w:rFonts w:hint="eastAsia" w:eastAsia="宋体"/>
          <w:lang w:val="en-US" w:eastAsia="zh-CN"/>
        </w:rPr>
        <w:t xml:space="preserve"> and evaluate</w:t>
      </w:r>
      <w:r>
        <w:rPr>
          <w:rFonts w:hint="default" w:eastAsia="宋体"/>
          <w:lang w:val="en-US" w:eastAsia="zh-CN"/>
        </w:rPr>
        <w:t>d</w:t>
      </w:r>
      <w:r>
        <w:rPr>
          <w:rFonts w:hint="eastAsia" w:eastAsia="宋体"/>
          <w:lang w:val="en-US" w:eastAsia="zh-CN"/>
        </w:rPr>
        <w:t xml:space="preserve"> UE feedback enhancement for 6GR energy efficiency, reusing or extending the NR UAI framework and introducing additional EE-oriented feedback/indications to enable joint BS-UE power saving. The scope shall explicitly support bidirectional information exchange, including UE</w:t>
      </w:r>
      <w:r>
        <w:rPr>
          <w:rFonts w:hint="eastAsia" w:eastAsia="宋体"/>
          <w:lang w:val="en-US" w:eastAsia="zh-CN"/>
        </w:rPr>
        <w:noBreakHyphen/>
      </w:r>
      <w:r>
        <w:rPr>
          <w:rFonts w:hint="eastAsia" w:eastAsia="宋体"/>
          <w:lang w:val="en-US" w:eastAsia="zh-CN"/>
        </w:rPr>
        <w:t>to</w:t>
      </w:r>
      <w:r>
        <w:rPr>
          <w:rFonts w:hint="eastAsia" w:eastAsia="宋体"/>
          <w:lang w:val="en-US" w:eastAsia="zh-CN"/>
        </w:rPr>
        <w:noBreakHyphen/>
      </w:r>
      <w:r>
        <w:rPr>
          <w:rFonts w:hint="eastAsia" w:eastAsia="宋体"/>
          <w:lang w:val="en-US" w:eastAsia="zh-CN"/>
        </w:rPr>
        <w:t>NW feedback (e.g., assistance information) and NW</w:t>
      </w:r>
      <w:r>
        <w:rPr>
          <w:rFonts w:hint="eastAsia" w:eastAsia="宋体"/>
          <w:lang w:val="en-US" w:eastAsia="zh-CN"/>
        </w:rPr>
        <w:noBreakHyphen/>
      </w:r>
      <w:r>
        <w:rPr>
          <w:rFonts w:hint="eastAsia" w:eastAsia="宋体"/>
          <w:lang w:val="en-US" w:eastAsia="zh-CN"/>
        </w:rPr>
        <w:t>to</w:t>
      </w:r>
      <w:r>
        <w:rPr>
          <w:rFonts w:hint="eastAsia" w:eastAsia="宋体"/>
          <w:lang w:val="en-US" w:eastAsia="zh-CN"/>
        </w:rPr>
        <w:noBreakHyphen/>
      </w:r>
      <w:r>
        <w:rPr>
          <w:rFonts w:hint="eastAsia" w:eastAsia="宋体"/>
          <w:lang w:val="en-US" w:eastAsia="zh-CN"/>
        </w:rPr>
        <w:t>UE indications (e.g., data availability, traffic pattern), together with well</w:t>
      </w:r>
      <w:r>
        <w:rPr>
          <w:rFonts w:hint="eastAsia" w:eastAsia="宋体"/>
          <w:lang w:val="en-US" w:eastAsia="zh-CN"/>
        </w:rPr>
        <w:noBreakHyphen/>
      </w:r>
      <w:r>
        <w:rPr>
          <w:rFonts w:hint="eastAsia" w:eastAsia="宋体"/>
          <w:lang w:val="en-US" w:eastAsia="zh-CN"/>
        </w:rPr>
        <w:t xml:space="preserve">defined BS response mechanisms to act on such inputs. </w:t>
      </w:r>
      <w:r>
        <w:rPr>
          <w:rFonts w:hint="default" w:eastAsia="宋体"/>
          <w:lang w:val="en-US" w:eastAsia="zh-CN"/>
        </w:rPr>
        <w:t>It seems UAI consideration</w:t>
      </w:r>
      <w:r>
        <w:rPr>
          <w:rFonts w:hint="eastAsia" w:eastAsia="宋体"/>
          <w:lang w:val="en-US" w:eastAsia="zh-CN"/>
        </w:rPr>
        <w:t xml:space="preserve"> also cover</w:t>
      </w:r>
      <w:r>
        <w:rPr>
          <w:rFonts w:hint="default" w:eastAsia="宋体"/>
          <w:lang w:val="en-US" w:eastAsia="zh-CN"/>
        </w:rPr>
        <w:t>s</w:t>
      </w:r>
      <w:r>
        <w:rPr>
          <w:rFonts w:hint="eastAsia" w:eastAsia="宋体"/>
          <w:lang w:val="en-US" w:eastAsia="zh-CN"/>
        </w:rPr>
        <w:t xml:space="preserve"> UE</w:t>
      </w:r>
      <w:r>
        <w:rPr>
          <w:rFonts w:hint="eastAsia" w:eastAsia="宋体"/>
          <w:lang w:val="en-US" w:eastAsia="zh-CN"/>
        </w:rPr>
        <w:noBreakHyphen/>
      </w:r>
      <w:r>
        <w:rPr>
          <w:rFonts w:hint="eastAsia" w:eastAsia="宋体"/>
          <w:lang w:val="en-US" w:eastAsia="zh-CN"/>
        </w:rPr>
        <w:t>initiated adaptation based on the UE</w:t>
      </w:r>
      <w:r>
        <w:rPr>
          <w:rFonts w:hint="default" w:eastAsia="宋体"/>
          <w:lang w:val="en-US" w:eastAsia="zh-CN"/>
        </w:rPr>
        <w:t>’s</w:t>
      </w:r>
      <w:r>
        <w:rPr>
          <w:rFonts w:hint="eastAsia" w:eastAsia="宋体"/>
          <w:lang w:val="en-US" w:eastAsia="zh-CN"/>
        </w:rPr>
        <w:t xml:space="preserve"> knowledge of traffic and </w:t>
      </w:r>
      <w:r>
        <w:rPr>
          <w:rFonts w:hint="default" w:eastAsia="宋体"/>
          <w:lang w:val="en-US" w:eastAsia="zh-CN"/>
        </w:rPr>
        <w:t xml:space="preserve">capability (e.g., </w:t>
      </w:r>
      <w:r>
        <w:rPr>
          <w:rFonts w:hint="eastAsia" w:eastAsia="宋体"/>
          <w:lang w:val="en-US" w:eastAsia="zh-CN"/>
        </w:rPr>
        <w:t>RF conditions</w:t>
      </w:r>
      <w:r>
        <w:rPr>
          <w:rFonts w:hint="default" w:eastAsia="宋体"/>
          <w:lang w:val="en-US" w:eastAsia="zh-CN"/>
        </w:rPr>
        <w:t>)</w:t>
      </w:r>
      <w:r>
        <w:rPr>
          <w:rFonts w:hint="eastAsia" w:eastAsia="宋体"/>
          <w:lang w:val="en-US" w:eastAsia="zh-CN"/>
        </w:rPr>
        <w:t xml:space="preserve"> with corresponding procedures</w:t>
      </w:r>
      <w:r>
        <w:rPr>
          <w:rFonts w:hint="default" w:eastAsia="宋体"/>
          <w:lang w:val="en-US" w:eastAsia="zh-CN"/>
        </w:rPr>
        <w:t xml:space="preserve">, as well as </w:t>
      </w:r>
      <w:r>
        <w:rPr>
          <w:rFonts w:hint="eastAsia" w:eastAsia="宋体"/>
          <w:lang w:val="en-US" w:eastAsia="zh-CN"/>
        </w:rPr>
        <w:t xml:space="preserve">specific feedback/indication types and procedures. </w:t>
      </w:r>
    </w:p>
    <w:p w14:paraId="08229FD0">
      <w:pPr>
        <w:rPr>
          <w:rFonts w:hint="default" w:eastAsia="宋体"/>
          <w:lang w:val="en-US" w:eastAsia="zh-CN"/>
        </w:rPr>
      </w:pPr>
      <w:r>
        <w:rPr>
          <w:rFonts w:hint="default" w:eastAsia="宋体"/>
          <w:lang w:val="en-US" w:eastAsia="zh-CN"/>
        </w:rPr>
        <w:t xml:space="preserve">From our perspective, several potential outputs could be considered for further study, </w:t>
      </w:r>
      <w:r>
        <w:rPr>
          <w:rFonts w:hint="eastAsia" w:eastAsia="宋体"/>
          <w:lang w:val="en-US" w:eastAsia="zh-CN"/>
        </w:rPr>
        <w:t>aim</w:t>
      </w:r>
      <w:r>
        <w:rPr>
          <w:rFonts w:hint="default" w:eastAsia="宋体"/>
          <w:lang w:val="en-US" w:eastAsia="zh-CN"/>
        </w:rPr>
        <w:t>ing</w:t>
      </w:r>
      <w:r>
        <w:rPr>
          <w:rFonts w:hint="eastAsia" w:eastAsia="宋体"/>
          <w:lang w:val="en-US" w:eastAsia="zh-CN"/>
        </w:rPr>
        <w:t xml:space="preserve"> to provide a cohesive, implementation</w:t>
      </w:r>
      <w:r>
        <w:rPr>
          <w:rFonts w:hint="eastAsia" w:eastAsia="宋体"/>
          <w:lang w:val="en-US" w:eastAsia="zh-CN"/>
        </w:rPr>
        <w:noBreakHyphen/>
      </w:r>
      <w:r>
        <w:rPr>
          <w:rFonts w:hint="eastAsia" w:eastAsia="宋体"/>
          <w:lang w:val="en-US" w:eastAsia="zh-CN"/>
        </w:rPr>
        <w:t>efficient path from existing NR concepts toward day</w:t>
      </w:r>
      <w:r>
        <w:rPr>
          <w:rFonts w:hint="eastAsia" w:eastAsia="宋体"/>
          <w:lang w:val="en-US" w:eastAsia="zh-CN"/>
        </w:rPr>
        <w:noBreakHyphen/>
      </w:r>
      <w:r>
        <w:rPr>
          <w:rFonts w:hint="eastAsia" w:eastAsia="宋体"/>
          <w:lang w:val="en-US" w:eastAsia="zh-CN"/>
        </w:rPr>
        <w:t>one 6GR energy</w:t>
      </w:r>
      <w:r>
        <w:rPr>
          <w:rFonts w:hint="eastAsia" w:eastAsia="宋体"/>
          <w:lang w:val="en-US" w:eastAsia="zh-CN"/>
        </w:rPr>
        <w:noBreakHyphen/>
      </w:r>
      <w:r>
        <w:rPr>
          <w:rFonts w:hint="eastAsia" w:eastAsia="宋体"/>
          <w:lang w:val="en-US" w:eastAsia="zh-CN"/>
        </w:rPr>
        <w:t>efficient operation without duplicative mechanisms.</w:t>
      </w:r>
    </w:p>
    <w:p w14:paraId="16988290">
      <w:pPr>
        <w:numPr>
          <w:ilvl w:val="0"/>
          <w:numId w:val="32"/>
        </w:numPr>
        <w:ind w:left="55" w:leftChars="0" w:firstLine="0" w:firstLineChars="0"/>
        <w:rPr>
          <w:rFonts w:hint="eastAsia" w:eastAsia="宋体"/>
          <w:lang w:val="en-US" w:eastAsia="zh-CN"/>
        </w:rPr>
      </w:pPr>
      <w:r>
        <w:rPr>
          <w:rFonts w:hint="eastAsia" w:eastAsia="宋体"/>
          <w:lang w:val="en-US" w:eastAsia="zh-CN"/>
        </w:rPr>
        <w:t>a refined UAI</w:t>
      </w:r>
      <w:r>
        <w:rPr>
          <w:rFonts w:hint="eastAsia" w:eastAsia="宋体"/>
          <w:lang w:val="en-US" w:eastAsia="zh-CN"/>
        </w:rPr>
        <w:noBreakHyphen/>
      </w:r>
      <w:r>
        <w:rPr>
          <w:rFonts w:hint="eastAsia" w:eastAsia="宋体"/>
          <w:lang w:val="en-US" w:eastAsia="zh-CN"/>
        </w:rPr>
        <w:t>based framework for 6GR covering content, timing, and triggers of UE feedback and NW indications</w:t>
      </w:r>
    </w:p>
    <w:p w14:paraId="57318725">
      <w:pPr>
        <w:numPr>
          <w:ilvl w:val="0"/>
          <w:numId w:val="32"/>
        </w:numPr>
        <w:ind w:left="55" w:leftChars="0" w:firstLine="0" w:firstLineChars="0"/>
        <w:rPr>
          <w:rFonts w:hint="eastAsia" w:eastAsia="宋体"/>
          <w:lang w:eastAsia="zh-CN"/>
        </w:rPr>
      </w:pPr>
      <w:r>
        <w:rPr>
          <w:rFonts w:hint="eastAsia" w:eastAsia="宋体"/>
          <w:lang w:val="en-US" w:eastAsia="zh-CN"/>
        </w:rPr>
        <w:t xml:space="preserve"> baseline BS response mechanisms enabling coordinated configuration updates</w:t>
      </w:r>
    </w:p>
    <w:p w14:paraId="534B0D16">
      <w:pPr>
        <w:numPr>
          <w:ilvl w:val="0"/>
          <w:numId w:val="32"/>
        </w:numPr>
        <w:ind w:left="55" w:leftChars="0" w:firstLine="0" w:firstLineChars="0"/>
        <w:rPr>
          <w:rFonts w:hint="eastAsia" w:eastAsia="宋体"/>
          <w:lang w:eastAsia="zh-CN"/>
        </w:rPr>
      </w:pPr>
      <w:r>
        <w:rPr>
          <w:rFonts w:hint="eastAsia" w:eastAsia="宋体"/>
          <w:lang w:val="en-US" w:eastAsia="zh-CN"/>
        </w:rPr>
        <w:t xml:space="preserve"> criteria to determine when UAI</w:t>
      </w:r>
      <w:r>
        <w:rPr>
          <w:rFonts w:hint="eastAsia" w:eastAsia="宋体"/>
          <w:lang w:val="en-US" w:eastAsia="zh-CN"/>
        </w:rPr>
        <w:noBreakHyphen/>
      </w:r>
      <w:r>
        <w:rPr>
          <w:rFonts w:hint="eastAsia" w:eastAsia="宋体"/>
          <w:lang w:val="en-US" w:eastAsia="zh-CN"/>
        </w:rPr>
        <w:t>driven adaptations yield tangible joint BS-UE energy savings</w:t>
      </w:r>
    </w:p>
    <w:p w14:paraId="7AB73971">
      <w:pPr>
        <w:pStyle w:val="5"/>
        <w:rPr>
          <w:rFonts w:hint="default"/>
          <w:lang w:val="en-US" w:eastAsia="zh-CN"/>
        </w:rPr>
      </w:pPr>
    </w:p>
    <w:p w14:paraId="6FAD150D">
      <w:pPr>
        <w:rPr>
          <w:rFonts w:hint="eastAsia"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 xml:space="preserve">Observation </w:t>
      </w:r>
      <w:r>
        <w:rPr>
          <w:rFonts w:hint="eastAsia" w:ascii="Times New Roman Bold Italic" w:hAnsi="Times New Roman Bold Italic" w:cs="Times New Roman Bold Italic"/>
          <w:b/>
          <w:bCs/>
          <w:i/>
          <w:iCs/>
          <w:lang w:val="en-US" w:eastAsia="zh-CN"/>
        </w:rPr>
        <w:t>40</w:t>
      </w:r>
      <w:r>
        <w:rPr>
          <w:rFonts w:hint="default" w:ascii="Times New Roman Bold Italic" w:hAnsi="Times New Roman Bold Italic" w:eastAsia="宋体" w:cs="Times New Roman Bold Italic"/>
          <w:b/>
          <w:bCs/>
          <w:i/>
          <w:iCs/>
          <w:lang w:val="en-US" w:eastAsia="zh-CN"/>
        </w:rPr>
        <w:t xml:space="preserve">: </w:t>
      </w:r>
      <w:r>
        <w:rPr>
          <w:rFonts w:hint="eastAsia" w:ascii="Times New Roman Bold Italic" w:hAnsi="Times New Roman Bold Italic" w:eastAsia="宋体" w:cs="Times New Roman Bold Italic"/>
          <w:b/>
          <w:bCs/>
          <w:i/>
          <w:iCs/>
          <w:lang w:val="en-US" w:eastAsia="zh-CN"/>
        </w:rPr>
        <w:t xml:space="preserve">In </w:t>
      </w:r>
      <w:r>
        <w:rPr>
          <w:rFonts w:hint="default" w:ascii="Times New Roman Bold Italic" w:hAnsi="Times New Roman Bold Italic" w:eastAsia="宋体" w:cs="Times New Roman Bold Italic"/>
          <w:b/>
          <w:bCs/>
          <w:i/>
          <w:iCs/>
          <w:lang w:val="en-US" w:eastAsia="zh-CN"/>
        </w:rPr>
        <w:t>last meeting, companies have</w:t>
      </w:r>
      <w:r>
        <w:rPr>
          <w:rFonts w:hint="eastAsia" w:ascii="Times New Roman Bold Italic" w:hAnsi="Times New Roman Bold Italic" w:eastAsia="宋体" w:cs="Times New Roman Bold Italic"/>
          <w:b/>
          <w:bCs/>
          <w:i/>
          <w:iCs/>
          <w:lang w:val="en-US" w:eastAsia="zh-CN"/>
        </w:rPr>
        <w:t xml:space="preserve"> </w:t>
      </w:r>
      <w:r>
        <w:rPr>
          <w:rFonts w:hint="default" w:ascii="Times New Roman Bold Italic" w:hAnsi="Times New Roman Bold Italic" w:eastAsia="宋体" w:cs="Times New Roman Bold Italic"/>
          <w:b/>
          <w:bCs/>
          <w:i/>
          <w:iCs/>
          <w:lang w:val="en-US" w:eastAsia="zh-CN"/>
        </w:rPr>
        <w:t>discussed</w:t>
      </w:r>
      <w:r>
        <w:rPr>
          <w:rFonts w:hint="eastAsia" w:ascii="Times New Roman Bold Italic" w:hAnsi="Times New Roman Bold Italic" w:eastAsia="宋体" w:cs="Times New Roman Bold Italic"/>
          <w:b/>
          <w:bCs/>
          <w:i/>
          <w:iCs/>
          <w:lang w:val="en-US" w:eastAsia="zh-CN"/>
        </w:rPr>
        <w:t xml:space="preserve"> and evaluate</w:t>
      </w:r>
      <w:r>
        <w:rPr>
          <w:rFonts w:hint="default" w:ascii="Times New Roman Bold Italic" w:hAnsi="Times New Roman Bold Italic" w:eastAsia="宋体" w:cs="Times New Roman Bold Italic"/>
          <w:b/>
          <w:bCs/>
          <w:i/>
          <w:iCs/>
          <w:lang w:val="en-US" w:eastAsia="zh-CN"/>
        </w:rPr>
        <w:t>d</w:t>
      </w:r>
      <w:r>
        <w:rPr>
          <w:rFonts w:hint="eastAsia" w:ascii="Times New Roman Bold Italic" w:hAnsi="Times New Roman Bold Italic" w:eastAsia="宋体" w:cs="Times New Roman Bold Italic"/>
          <w:b/>
          <w:bCs/>
          <w:i/>
          <w:iCs/>
          <w:lang w:val="en-US" w:eastAsia="zh-CN"/>
        </w:rPr>
        <w:t xml:space="preserve"> UE feedback enhancement for 6GR energy efficiency, reusing or extending the NR UAI framework and introducing additional EE-oriented feedback/indications to enable joint BS-UE power saving.</w:t>
      </w:r>
    </w:p>
    <w:p w14:paraId="45ADAFF0">
      <w:pPr>
        <w:rPr>
          <w:rFonts w:hint="eastAsia" w:ascii="Times New Roman Bold Italic" w:hAnsi="Times New Roman Bold Italic" w:eastAsia="宋体" w:cs="Times New Roman Bold Italic"/>
          <w:b/>
          <w:bCs/>
          <w:i/>
          <w:iCs/>
          <w:lang w:val="en-US" w:eastAsia="zh-CN"/>
        </w:rPr>
      </w:pPr>
    </w:p>
    <w:p w14:paraId="401612FA">
      <w:pPr>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 xml:space="preserve">Proposal </w:t>
      </w:r>
      <w:r>
        <w:rPr>
          <w:rFonts w:hint="eastAsia" w:ascii="Times New Roman Bold Italic" w:hAnsi="Times New Roman Bold Italic" w:cs="Times New Roman Bold Italic"/>
          <w:b/>
          <w:bCs/>
          <w:i/>
          <w:iCs/>
          <w:lang w:val="en-US" w:eastAsia="zh-CN"/>
        </w:rPr>
        <w:t>35</w:t>
      </w:r>
      <w:r>
        <w:rPr>
          <w:rFonts w:hint="default" w:ascii="Times New Roman Bold Italic" w:hAnsi="Times New Roman Bold Italic" w:eastAsia="宋体" w:cs="Times New Roman Bold Italic"/>
          <w:b/>
          <w:bCs/>
          <w:i/>
          <w:iCs/>
          <w:lang w:val="en-US" w:eastAsia="zh-CN"/>
        </w:rPr>
        <w:t>: Study potential UAI enhancement schemes including but not restricted to</w:t>
      </w:r>
    </w:p>
    <w:p w14:paraId="6DE50042">
      <w:pPr>
        <w:numPr>
          <w:ilvl w:val="0"/>
          <w:numId w:val="33"/>
        </w:numPr>
        <w:ind w:left="420" w:leftChars="0" w:hanging="420" w:firstLineChars="0"/>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a refined UAI</w:t>
      </w:r>
      <w:r>
        <w:rPr>
          <w:rFonts w:hint="default" w:ascii="Times New Roman Bold Italic" w:hAnsi="Times New Roman Bold Italic" w:eastAsia="宋体" w:cs="Times New Roman Bold Italic"/>
          <w:b/>
          <w:bCs/>
          <w:i/>
          <w:iCs/>
          <w:lang w:val="en-US" w:eastAsia="zh-CN"/>
        </w:rPr>
        <w:noBreakHyphen/>
      </w:r>
      <w:r>
        <w:rPr>
          <w:rFonts w:hint="default" w:ascii="Times New Roman Bold Italic" w:hAnsi="Times New Roman Bold Italic" w:eastAsia="宋体" w:cs="Times New Roman Bold Italic"/>
          <w:b/>
          <w:bCs/>
          <w:i/>
          <w:iCs/>
          <w:lang w:val="en-US" w:eastAsia="zh-CN"/>
        </w:rPr>
        <w:t>based framework for 6GR covering content, timing, and triggers of UE feedback and NW indications</w:t>
      </w:r>
    </w:p>
    <w:p w14:paraId="1F39C2C2">
      <w:pPr>
        <w:numPr>
          <w:ilvl w:val="0"/>
          <w:numId w:val="33"/>
        </w:numPr>
        <w:ind w:left="420" w:leftChars="0" w:hanging="420" w:firstLineChars="0"/>
        <w:rPr>
          <w:rFonts w:hint="default" w:ascii="Times New Roman Bold Italic" w:hAnsi="Times New Roman Bold Italic" w:eastAsia="宋体" w:cs="Times New Roman Bold Italic"/>
          <w:b/>
          <w:bCs/>
          <w:i/>
          <w:iCs/>
          <w:lang w:eastAsia="zh-CN"/>
        </w:rPr>
      </w:pPr>
      <w:r>
        <w:rPr>
          <w:rFonts w:hint="default" w:ascii="Times New Roman Bold Italic" w:hAnsi="Times New Roman Bold Italic" w:eastAsia="宋体" w:cs="Times New Roman Bold Italic"/>
          <w:b/>
          <w:bCs/>
          <w:i/>
          <w:iCs/>
          <w:lang w:val="en-US" w:eastAsia="zh-CN"/>
        </w:rPr>
        <w:t xml:space="preserve"> baseline BS response mechanisms enabling coordinated configuration updates</w:t>
      </w:r>
    </w:p>
    <w:p w14:paraId="6F3837FF">
      <w:pPr>
        <w:numPr>
          <w:ilvl w:val="0"/>
          <w:numId w:val="33"/>
        </w:numPr>
        <w:ind w:left="420" w:leftChars="0" w:hanging="420" w:firstLineChars="0"/>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 xml:space="preserve"> criteria to determine when UAI</w:t>
      </w:r>
      <w:r>
        <w:rPr>
          <w:rFonts w:hint="default" w:ascii="Times New Roman Bold Italic" w:hAnsi="Times New Roman Bold Italic" w:eastAsia="宋体" w:cs="Times New Roman Bold Italic"/>
          <w:b/>
          <w:bCs/>
          <w:i/>
          <w:iCs/>
          <w:lang w:val="en-US" w:eastAsia="zh-CN"/>
        </w:rPr>
        <w:noBreakHyphen/>
      </w:r>
      <w:r>
        <w:rPr>
          <w:rFonts w:hint="default" w:ascii="Times New Roman Bold Italic" w:hAnsi="Times New Roman Bold Italic" w:eastAsia="宋体" w:cs="Times New Roman Bold Italic"/>
          <w:b/>
          <w:bCs/>
          <w:i/>
          <w:iCs/>
          <w:lang w:val="en-US" w:eastAsia="zh-CN"/>
        </w:rPr>
        <w:t>driven adaptations yield tangible joint BS-UE energy savings</w:t>
      </w:r>
    </w:p>
    <w:p w14:paraId="145121DC">
      <w:pPr>
        <w:rPr>
          <w:rFonts w:ascii="Times New Roman Bold Italic" w:hAnsi="Times New Roman Bold Italic" w:cs="Times New Roman Bold Italic"/>
          <w:b/>
          <w:bCs/>
          <w:i/>
          <w:iCs/>
          <w:lang w:eastAsia="zh-CN"/>
        </w:rPr>
      </w:pPr>
    </w:p>
    <w:p w14:paraId="0C2E7B7E">
      <w:pPr>
        <w:rPr>
          <w:rFonts w:ascii="Times New Roman Bold Italic" w:hAnsi="Times New Roman Bold Italic" w:cs="Times New Roman Bold Italic"/>
          <w:b/>
          <w:bCs/>
          <w:i/>
          <w:iCs/>
          <w:lang w:eastAsia="zh-CN"/>
        </w:rPr>
      </w:pPr>
    </w:p>
    <w:p w14:paraId="59FDD57C">
      <w:pPr>
        <w:pStyle w:val="3"/>
        <w:numPr>
          <w:ilvl w:val="1"/>
          <w:numId w:val="0"/>
        </w:numPr>
        <w:tabs>
          <w:tab w:val="left" w:pos="432"/>
          <w:tab w:val="clear" w:pos="576"/>
        </w:tabs>
        <w:ind w:leftChars="0"/>
        <w:outlineLvl w:val="1"/>
        <w:rPr>
          <w:lang w:eastAsia="zh-CN"/>
        </w:rPr>
      </w:pPr>
      <w:r>
        <w:rPr>
          <w:rFonts w:hint="default"/>
          <w:lang w:val="en-US" w:eastAsia="zh-CN"/>
        </w:rPr>
        <w:t xml:space="preserve">5.3 </w:t>
      </w:r>
      <w:r>
        <w:rPr>
          <w:rFonts w:hint="eastAsia"/>
          <w:lang w:eastAsia="zh-CN"/>
        </w:rPr>
        <w:t>Multi</w:t>
      </w:r>
      <w:r>
        <w:rPr>
          <w:lang w:eastAsia="zh-CN"/>
        </w:rPr>
        <w:t>-Antennas/TRPs on/off</w:t>
      </w:r>
      <w:r>
        <w:rPr>
          <w:rFonts w:hint="eastAsia"/>
          <w:lang w:eastAsia="zh-CN"/>
        </w:rPr>
        <w:t xml:space="preserve"> </w:t>
      </w:r>
    </w:p>
    <w:p w14:paraId="6B80993D">
      <w:pPr>
        <w:rPr>
          <w:lang w:eastAsia="zh-CN"/>
        </w:rPr>
      </w:pPr>
      <w:r>
        <w:rPr>
          <w:lang w:eastAsia="zh-CN"/>
        </w:rPr>
        <w:t>The core principle behind spatial scalability is adapt</w:t>
      </w:r>
      <w:r>
        <w:rPr>
          <w:rFonts w:hint="eastAsia"/>
          <w:lang w:eastAsia="zh-CN"/>
        </w:rPr>
        <w:t>ing</w:t>
      </w:r>
      <w:r>
        <w:rPr>
          <w:lang w:eastAsia="zh-CN"/>
        </w:rPr>
        <w:t xml:space="preserve"> the number of active antennas, panels, beams </w:t>
      </w:r>
      <w:r>
        <w:rPr>
          <w:rFonts w:hint="eastAsia"/>
          <w:lang w:eastAsia="zh-CN"/>
        </w:rPr>
        <w:t>or</w:t>
      </w:r>
      <w:r>
        <w:rPr>
          <w:lang w:eastAsia="zh-CN"/>
        </w:rPr>
        <w:t xml:space="preserve"> TRPs </w:t>
      </w:r>
      <w:r>
        <w:rPr>
          <w:rFonts w:hint="eastAsia"/>
          <w:lang w:eastAsia="zh-CN"/>
        </w:rPr>
        <w:t>by on-demand manner.</w:t>
      </w:r>
    </w:p>
    <w:p w14:paraId="14B9373B">
      <w:pPr>
        <w:rPr>
          <w:lang w:eastAsia="zh-CN"/>
        </w:rPr>
      </w:pPr>
      <w:r>
        <w:rPr>
          <w:rFonts w:hint="eastAsia"/>
          <w:lang w:eastAsia="zh-CN"/>
        </w:rPr>
        <w:t>From UE</w:t>
      </w:r>
      <w:r>
        <w:rPr>
          <w:lang w:eastAsia="zh-CN"/>
        </w:rPr>
        <w:t>’</w:t>
      </w:r>
      <w:r>
        <w:rPr>
          <w:rFonts w:hint="eastAsia"/>
          <w:lang w:eastAsia="zh-CN"/>
        </w:rPr>
        <w:t>s perspective, s</w:t>
      </w:r>
      <w:r>
        <w:rPr>
          <w:lang w:eastAsia="zh-CN"/>
        </w:rPr>
        <w:t>patial scalability means switch</w:t>
      </w:r>
      <w:r>
        <w:rPr>
          <w:rFonts w:hint="eastAsia"/>
          <w:lang w:eastAsia="zh-CN"/>
        </w:rPr>
        <w:t>ing</w:t>
      </w:r>
      <w:r>
        <w:rPr>
          <w:lang w:eastAsia="zh-CN"/>
        </w:rPr>
        <w:t xml:space="preserve"> on </w:t>
      </w:r>
      <w:r>
        <w:rPr>
          <w:rFonts w:hint="eastAsia"/>
          <w:lang w:eastAsia="zh-CN"/>
        </w:rPr>
        <w:t xml:space="preserve">more </w:t>
      </w:r>
      <w:r>
        <w:rPr>
          <w:lang w:eastAsia="zh-CN"/>
        </w:rPr>
        <w:t>panel</w:t>
      </w:r>
      <w:r>
        <w:rPr>
          <w:rFonts w:hint="eastAsia"/>
          <w:lang w:eastAsia="zh-CN"/>
        </w:rPr>
        <w:t>(</w:t>
      </w:r>
      <w:r>
        <w:rPr>
          <w:lang w:eastAsia="zh-CN"/>
        </w:rPr>
        <w:t>s</w:t>
      </w:r>
      <w:r>
        <w:rPr>
          <w:rFonts w:hint="eastAsia"/>
          <w:lang w:eastAsia="zh-CN"/>
        </w:rPr>
        <w:t>)/</w:t>
      </w:r>
      <w:r>
        <w:rPr>
          <w:lang w:eastAsia="zh-CN"/>
        </w:rPr>
        <w:t>antenna</w:t>
      </w:r>
      <w:r>
        <w:rPr>
          <w:rFonts w:hint="eastAsia"/>
          <w:lang w:eastAsia="zh-CN"/>
        </w:rPr>
        <w:t xml:space="preserve">(s) </w:t>
      </w:r>
      <w:r>
        <w:rPr>
          <w:lang w:eastAsia="zh-CN"/>
        </w:rPr>
        <w:t>only when needed</w:t>
      </w:r>
      <w:r>
        <w:rPr>
          <w:rFonts w:hint="eastAsia"/>
          <w:lang w:eastAsia="zh-CN"/>
        </w:rPr>
        <w:t xml:space="preserve">, otherwise, </w:t>
      </w:r>
      <w:r>
        <w:rPr>
          <w:lang w:eastAsia="zh-CN"/>
        </w:rPr>
        <w:t xml:space="preserve">selecting </w:t>
      </w:r>
      <w:r>
        <w:rPr>
          <w:rFonts w:hint="eastAsia"/>
          <w:lang w:eastAsia="zh-CN"/>
        </w:rPr>
        <w:t xml:space="preserve">less </w:t>
      </w:r>
      <w:r>
        <w:rPr>
          <w:lang w:eastAsia="zh-CN"/>
        </w:rPr>
        <w:t>panel</w:t>
      </w:r>
      <w:r>
        <w:rPr>
          <w:rFonts w:hint="eastAsia"/>
          <w:lang w:eastAsia="zh-CN"/>
        </w:rPr>
        <w:t>(</w:t>
      </w:r>
      <w:r>
        <w:rPr>
          <w:lang w:eastAsia="zh-CN"/>
        </w:rPr>
        <w:t>s</w:t>
      </w:r>
      <w:r>
        <w:rPr>
          <w:rFonts w:hint="eastAsia"/>
          <w:lang w:eastAsia="zh-CN"/>
        </w:rPr>
        <w:t>)/</w:t>
      </w:r>
      <w:r>
        <w:rPr>
          <w:lang w:eastAsia="zh-CN"/>
        </w:rPr>
        <w:t>antenna</w:t>
      </w:r>
      <w:r>
        <w:rPr>
          <w:rFonts w:hint="eastAsia"/>
          <w:lang w:eastAsia="zh-CN"/>
        </w:rPr>
        <w:t>(s)</w:t>
      </w:r>
      <w:r>
        <w:rPr>
          <w:lang w:eastAsia="zh-CN"/>
        </w:rPr>
        <w:t xml:space="preserve"> and keeping the rest </w:t>
      </w:r>
      <w:r>
        <w:rPr>
          <w:rFonts w:hint="eastAsia"/>
          <w:lang w:eastAsia="zh-CN"/>
        </w:rPr>
        <w:t>turn off</w:t>
      </w:r>
      <w:r>
        <w:rPr>
          <w:lang w:eastAsia="zh-CN"/>
        </w:rPr>
        <w:t>.</w:t>
      </w:r>
      <w:r>
        <w:rPr>
          <w:rFonts w:hint="eastAsia"/>
          <w:lang w:eastAsia="zh-CN"/>
        </w:rPr>
        <w:t xml:space="preserve"> A</w:t>
      </w:r>
      <w:r>
        <w:rPr>
          <w:lang w:eastAsia="zh-CN"/>
        </w:rPr>
        <w:t>ctivating fewer panels</w:t>
      </w:r>
      <w:r>
        <w:rPr>
          <w:rFonts w:hint="eastAsia"/>
          <w:lang w:eastAsia="zh-CN"/>
        </w:rPr>
        <w:t>/</w:t>
      </w:r>
      <w:r>
        <w:rPr>
          <w:lang w:eastAsia="zh-CN"/>
        </w:rPr>
        <w:t>antennas when channel permits reduce front</w:t>
      </w:r>
      <w:r>
        <w:rPr>
          <w:lang w:eastAsia="zh-CN"/>
        </w:rPr>
        <w:noBreakHyphen/>
      </w:r>
      <w:r>
        <w:rPr>
          <w:lang w:eastAsia="zh-CN"/>
        </w:rPr>
        <w:t>end and baseband power.</w:t>
      </w:r>
      <w:r>
        <w:rPr>
          <w:rFonts w:hint="eastAsia"/>
          <w:lang w:eastAsia="zh-CN"/>
        </w:rPr>
        <w:t xml:space="preserve"> To improve the energy </w:t>
      </w:r>
      <w:r>
        <w:rPr>
          <w:lang w:eastAsia="zh-CN"/>
        </w:rPr>
        <w:t>efficiency</w:t>
      </w:r>
      <w:r>
        <w:rPr>
          <w:rFonts w:hint="eastAsia"/>
          <w:lang w:eastAsia="zh-CN"/>
        </w:rPr>
        <w:t>, the rule can be considered, i.e., s</w:t>
      </w:r>
      <w:r>
        <w:rPr>
          <w:lang w:eastAsia="zh-CN"/>
        </w:rPr>
        <w:t>cale Rx chains and beams with SNR and QoS</w:t>
      </w:r>
      <w:r>
        <w:rPr>
          <w:rFonts w:hint="eastAsia"/>
          <w:lang w:eastAsia="zh-CN"/>
        </w:rPr>
        <w:t>,</w:t>
      </w:r>
      <w:r>
        <w:rPr>
          <w:lang w:eastAsia="zh-CN"/>
        </w:rPr>
        <w:t xml:space="preserve"> </w:t>
      </w:r>
      <w:r>
        <w:rPr>
          <w:rFonts w:hint="eastAsia"/>
          <w:lang w:eastAsia="zh-CN"/>
        </w:rPr>
        <w:t>e.g., p</w:t>
      </w:r>
      <w:r>
        <w:rPr>
          <w:lang w:eastAsia="zh-CN"/>
        </w:rPr>
        <w:t>refer single‑panel</w:t>
      </w:r>
      <w:r>
        <w:rPr>
          <w:rFonts w:hint="eastAsia"/>
          <w:lang w:eastAsia="zh-CN"/>
        </w:rPr>
        <w:t>/antenna</w:t>
      </w:r>
      <w:r>
        <w:rPr>
          <w:lang w:eastAsia="zh-CN"/>
        </w:rPr>
        <w:t xml:space="preserve"> operation in </w:t>
      </w:r>
      <w:r>
        <w:rPr>
          <w:rFonts w:hint="eastAsia"/>
          <w:lang w:eastAsia="zh-CN"/>
        </w:rPr>
        <w:t>power saving</w:t>
      </w:r>
      <w:r>
        <w:rPr>
          <w:lang w:eastAsia="zh-CN"/>
        </w:rPr>
        <w:t xml:space="preserve"> state</w:t>
      </w:r>
      <w:r>
        <w:rPr>
          <w:rFonts w:hint="eastAsia"/>
          <w:lang w:eastAsia="zh-CN"/>
        </w:rPr>
        <w:t>, and</w:t>
      </w:r>
      <w:r>
        <w:rPr>
          <w:lang w:eastAsia="zh-CN"/>
        </w:rPr>
        <w:t xml:space="preserve"> activate additional panels</w:t>
      </w:r>
      <w:r>
        <w:rPr>
          <w:rFonts w:hint="eastAsia"/>
          <w:lang w:eastAsia="zh-CN"/>
        </w:rPr>
        <w:t>/antennas</w:t>
      </w:r>
      <w:r>
        <w:rPr>
          <w:lang w:eastAsia="zh-CN"/>
        </w:rPr>
        <w:t xml:space="preserve"> only </w:t>
      </w:r>
      <w:r>
        <w:rPr>
          <w:rFonts w:hint="eastAsia"/>
          <w:lang w:eastAsia="zh-CN"/>
        </w:rPr>
        <w:t>when channel quality state is needed.</w:t>
      </w:r>
    </w:p>
    <w:p w14:paraId="72DC1742">
      <w:pPr>
        <w:rPr>
          <w:lang w:eastAsia="zh-CN"/>
        </w:rPr>
      </w:pPr>
      <w:r>
        <w:rPr>
          <w:rFonts w:hint="eastAsia"/>
          <w:lang w:eastAsia="zh-CN"/>
        </w:rPr>
        <w:t>From network</w:t>
      </w:r>
      <w:r>
        <w:rPr>
          <w:lang w:eastAsia="zh-CN"/>
        </w:rPr>
        <w:t>’</w:t>
      </w:r>
      <w:r>
        <w:rPr>
          <w:rFonts w:hint="eastAsia"/>
          <w:lang w:eastAsia="zh-CN"/>
        </w:rPr>
        <w:t xml:space="preserve">s perspective, </w:t>
      </w:r>
      <w:r>
        <w:rPr>
          <w:lang w:eastAsia="zh-CN"/>
        </w:rPr>
        <w:t xml:space="preserve">NES introduced a CSI framework </w:t>
      </w:r>
      <w:r>
        <w:rPr>
          <w:rFonts w:hint="eastAsia"/>
          <w:lang w:eastAsia="zh-CN"/>
        </w:rPr>
        <w:t xml:space="preserve">to support </w:t>
      </w:r>
      <w:r>
        <w:rPr>
          <w:lang w:eastAsia="zh-CN"/>
        </w:rPr>
        <w:t>spatial</w:t>
      </w:r>
      <w:r>
        <w:rPr>
          <w:lang w:eastAsia="zh-CN"/>
        </w:rPr>
        <w:noBreakHyphen/>
      </w:r>
      <w:r>
        <w:rPr>
          <w:lang w:eastAsia="zh-CN"/>
        </w:rPr>
        <w:t>domain (SD) adaptation</w:t>
      </w:r>
      <w:r>
        <w:rPr>
          <w:rFonts w:hint="eastAsia"/>
          <w:lang w:eastAsia="zh-CN"/>
        </w:rPr>
        <w:t xml:space="preserve">. </w:t>
      </w:r>
      <w:r>
        <w:rPr>
          <w:lang w:eastAsia="zh-CN"/>
        </w:rPr>
        <w:t>B</w:t>
      </w:r>
      <w:r>
        <w:rPr>
          <w:rFonts w:hint="eastAsia"/>
          <w:lang w:eastAsia="zh-CN"/>
        </w:rPr>
        <w:t xml:space="preserve">y </w:t>
      </w:r>
      <w:r>
        <w:rPr>
          <w:lang w:eastAsia="zh-CN"/>
        </w:rPr>
        <w:t>spatial</w:t>
      </w:r>
      <w:r>
        <w:rPr>
          <w:lang w:eastAsia="zh-CN"/>
        </w:rPr>
        <w:noBreakHyphen/>
      </w:r>
      <w:r>
        <w:rPr>
          <w:lang w:eastAsia="zh-CN"/>
        </w:rPr>
        <w:t>domain adaptation</w:t>
      </w:r>
      <w:r>
        <w:rPr>
          <w:rFonts w:hint="eastAsia"/>
          <w:lang w:eastAsia="zh-CN"/>
        </w:rPr>
        <w:t xml:space="preserve">, </w:t>
      </w:r>
      <w:r>
        <w:rPr>
          <w:lang w:eastAsia="zh-CN"/>
        </w:rPr>
        <w:t>reduc</w:t>
      </w:r>
      <w:r>
        <w:rPr>
          <w:rFonts w:hint="eastAsia"/>
          <w:lang w:eastAsia="zh-CN"/>
        </w:rPr>
        <w:t>ing</w:t>
      </w:r>
      <w:r>
        <w:rPr>
          <w:lang w:eastAsia="zh-CN"/>
        </w:rPr>
        <w:t xml:space="preserve"> the number of antenna ports</w:t>
      </w:r>
      <w:r>
        <w:rPr>
          <w:rFonts w:hint="eastAsia"/>
          <w:lang w:eastAsia="zh-CN"/>
        </w:rPr>
        <w:t xml:space="preserve"> and </w:t>
      </w:r>
      <w:r>
        <w:rPr>
          <w:lang w:eastAsia="zh-CN"/>
        </w:rPr>
        <w:t>reduc</w:t>
      </w:r>
      <w:r>
        <w:rPr>
          <w:rFonts w:hint="eastAsia"/>
          <w:lang w:eastAsia="zh-CN"/>
        </w:rPr>
        <w:t>ing</w:t>
      </w:r>
      <w:r>
        <w:rPr>
          <w:lang w:eastAsia="zh-CN"/>
        </w:rPr>
        <w:t xml:space="preserve"> the number of antenna elements per port</w:t>
      </w:r>
      <w:r>
        <w:rPr>
          <w:rFonts w:hint="eastAsia"/>
          <w:lang w:eastAsia="zh-CN"/>
        </w:rPr>
        <w:t xml:space="preserve"> are considered. </w:t>
      </w:r>
      <w:r>
        <w:rPr>
          <w:lang w:eastAsia="zh-CN"/>
        </w:rPr>
        <w:t>UE</w:t>
      </w:r>
      <w:r>
        <w:rPr>
          <w:lang w:eastAsia="zh-CN"/>
        </w:rPr>
        <w:noBreakHyphen/>
      </w:r>
      <w:r>
        <w:rPr>
          <w:lang w:eastAsia="zh-CN"/>
        </w:rPr>
        <w:t>assisted CSI sub</w:t>
      </w:r>
      <w:r>
        <w:rPr>
          <w:lang w:eastAsia="zh-CN"/>
        </w:rPr>
        <w:noBreakHyphen/>
      </w:r>
      <w:r>
        <w:rPr>
          <w:lang w:eastAsia="zh-CN"/>
        </w:rPr>
        <w:t>reports are designed</w:t>
      </w:r>
      <w:r>
        <w:rPr>
          <w:rFonts w:hint="eastAsia"/>
          <w:lang w:eastAsia="zh-CN"/>
        </w:rPr>
        <w:t xml:space="preserve"> to support </w:t>
      </w:r>
      <w:r>
        <w:rPr>
          <w:lang w:eastAsia="zh-CN"/>
        </w:rPr>
        <w:t>scale arrays down</w:t>
      </w:r>
      <w:r>
        <w:rPr>
          <w:rFonts w:hint="eastAsia"/>
          <w:lang w:eastAsia="zh-CN"/>
        </w:rPr>
        <w:t xml:space="preserve">. </w:t>
      </w:r>
      <w:r>
        <w:rPr>
          <w:lang w:eastAsia="zh-CN"/>
        </w:rPr>
        <w:t>In parallel, Rel‑19 look</w:t>
      </w:r>
      <w:r>
        <w:rPr>
          <w:rFonts w:hint="eastAsia"/>
          <w:lang w:eastAsia="zh-CN"/>
        </w:rPr>
        <w:t>s</w:t>
      </w:r>
      <w:r>
        <w:rPr>
          <w:lang w:eastAsia="zh-CN"/>
        </w:rPr>
        <w:t xml:space="preserve"> at adapting PRACH/SSB in the spatial domain, reducing “always‑on” beam overhead in sparse traffic.</w:t>
      </w:r>
      <w:r>
        <w:rPr>
          <w:rFonts w:hint="eastAsia"/>
          <w:lang w:eastAsia="zh-CN"/>
        </w:rPr>
        <w:t xml:space="preserve"> </w:t>
      </w:r>
      <w:r>
        <w:rPr>
          <w:lang w:eastAsia="zh-CN"/>
        </w:rPr>
        <w:t xml:space="preserve">Both mechanisms avoid </w:t>
      </w:r>
      <w:r>
        <w:rPr>
          <w:rFonts w:hint="eastAsia"/>
          <w:lang w:eastAsia="zh-CN"/>
        </w:rPr>
        <w:t>turn on all</w:t>
      </w:r>
      <w:r>
        <w:rPr>
          <w:lang w:eastAsia="zh-CN"/>
        </w:rPr>
        <w:t xml:space="preserve"> antennas</w:t>
      </w:r>
      <w:r>
        <w:rPr>
          <w:rFonts w:hint="eastAsia"/>
          <w:lang w:eastAsia="zh-CN"/>
        </w:rPr>
        <w:t xml:space="preserve"> </w:t>
      </w:r>
      <w:r>
        <w:rPr>
          <w:lang w:eastAsia="zh-CN"/>
        </w:rPr>
        <w:t>when only a subset is</w:t>
      </w:r>
      <w:r>
        <w:rPr>
          <w:rFonts w:hint="eastAsia"/>
          <w:lang w:eastAsia="zh-CN"/>
        </w:rPr>
        <w:t xml:space="preserve"> sufficient</w:t>
      </w:r>
      <w:r>
        <w:rPr>
          <w:lang w:eastAsia="zh-CN"/>
        </w:rPr>
        <w:t>.</w:t>
      </w:r>
      <w:r>
        <w:rPr>
          <w:rFonts w:hint="eastAsia"/>
          <w:lang w:eastAsia="zh-CN"/>
        </w:rPr>
        <w:t xml:space="preserve"> </w:t>
      </w:r>
      <w:r>
        <w:rPr>
          <w:lang w:eastAsia="zh-CN"/>
        </w:rPr>
        <w:t>Additionally</w:t>
      </w:r>
      <w:r>
        <w:rPr>
          <w:rFonts w:hint="eastAsia"/>
          <w:lang w:eastAsia="zh-CN"/>
        </w:rPr>
        <w:t xml:space="preserve">, </w:t>
      </w:r>
      <w:r>
        <w:rPr>
          <w:lang w:eastAsia="zh-CN"/>
        </w:rPr>
        <w:t>TRP muting for multi</w:t>
      </w:r>
      <w:r>
        <w:rPr>
          <w:lang w:eastAsia="zh-CN"/>
        </w:rPr>
        <w:noBreakHyphen/>
      </w:r>
      <w:r>
        <w:rPr>
          <w:lang w:eastAsia="zh-CN"/>
        </w:rPr>
        <w:t>TRP operation</w:t>
      </w:r>
      <w:r>
        <w:rPr>
          <w:rFonts w:hint="eastAsia"/>
          <w:lang w:eastAsia="zh-CN"/>
        </w:rPr>
        <w:t xml:space="preserve"> is also a technique to improve energy efficiency. </w:t>
      </w:r>
    </w:p>
    <w:p w14:paraId="12E3DF95">
      <w:pPr>
        <w:rPr>
          <w:rFonts w:hint="default" w:ascii="Times New Roman Bold Italic" w:hAnsi="Times New Roman Bold Italic" w:cs="Times New Roman Bold Italic"/>
          <w:b/>
          <w:bCs/>
          <w:i/>
          <w:iCs/>
          <w:lang w:eastAsia="zh-CN"/>
        </w:rPr>
      </w:pPr>
      <w:r>
        <w:rPr>
          <w:rFonts w:hint="default"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val="en-US" w:eastAsia="zh-CN"/>
        </w:rPr>
        <w:t>41</w:t>
      </w:r>
      <w:r>
        <w:rPr>
          <w:rFonts w:hint="default" w:ascii="Times New Roman Bold Italic" w:hAnsi="Times New Roman Bold Italic" w:cs="Times New Roman Bold Italic"/>
          <w:b/>
          <w:bCs/>
          <w:i/>
          <w:iCs/>
          <w:lang w:eastAsia="zh-CN"/>
        </w:rPr>
        <w:t>: Energy improvement in spatial domain would be achieved by fewer active panels/Rx chains and fewer active beams on the UE and fewer ports/elements, muted TxRUs, fewer beams, and muted TRPs on the base station.</w:t>
      </w:r>
    </w:p>
    <w:p w14:paraId="20FF9B81">
      <w:pPr>
        <w:rPr>
          <w:lang w:eastAsia="zh-CN"/>
        </w:rPr>
      </w:pPr>
    </w:p>
    <w:p w14:paraId="575F551F">
      <w:pPr>
        <w:pStyle w:val="3"/>
        <w:numPr>
          <w:ilvl w:val="1"/>
          <w:numId w:val="0"/>
        </w:numPr>
        <w:tabs>
          <w:tab w:val="clear" w:pos="576"/>
        </w:tabs>
        <w:ind w:leftChars="0"/>
        <w:rPr>
          <w:rFonts w:hint="default"/>
          <w:lang w:val="en-US" w:eastAsia="zh-CN"/>
        </w:rPr>
      </w:pPr>
      <w:r>
        <w:rPr>
          <w:rFonts w:hint="default"/>
          <w:lang w:val="en-US" w:eastAsia="zh-CN"/>
        </w:rPr>
        <w:t xml:space="preserve">5.4 </w:t>
      </w:r>
      <w:r>
        <w:rPr>
          <w:lang w:eastAsia="zh-CN"/>
        </w:rPr>
        <w:t>Power domain transmissions</w:t>
      </w:r>
    </w:p>
    <w:p w14:paraId="0B97FABE">
      <w:pPr>
        <w:ind w:firstLine="220" w:firstLineChars="100"/>
        <w:rPr>
          <w:lang w:eastAsia="zh-CN"/>
        </w:rPr>
      </w:pPr>
      <w:r>
        <w:rPr>
          <w:lang w:eastAsia="zh-CN"/>
        </w:rPr>
        <w:t>6G targets step-change improvements in energy efficiency by addressing how transmit power is generated, controlled, and shaped at both the base station and user equipment levels.</w:t>
      </w:r>
    </w:p>
    <w:p w14:paraId="4687F367">
      <w:pPr>
        <w:numPr>
          <w:ilvl w:val="0"/>
          <w:numId w:val="34"/>
        </w:numPr>
        <w:rPr>
          <w:rFonts w:ascii="Times New Roman Bold" w:hAnsi="Times New Roman Bold" w:cs="Times New Roman Bold"/>
          <w:b/>
          <w:bCs/>
          <w:lang w:eastAsia="zh-CN"/>
        </w:rPr>
      </w:pPr>
      <w:r>
        <w:rPr>
          <w:rFonts w:ascii="Times New Roman Bold" w:hAnsi="Times New Roman Bold" w:cs="Times New Roman Bold"/>
          <w:b/>
          <w:bCs/>
          <w:lang w:eastAsia="zh-CN"/>
        </w:rPr>
        <w:t>PA Efficiency as a Core Metric</w:t>
      </w:r>
    </w:p>
    <w:p w14:paraId="6ECC68D4">
      <w:pPr>
        <w:rPr>
          <w:lang w:eastAsia="zh-CN"/>
        </w:rPr>
      </w:pPr>
      <w:r>
        <w:rPr>
          <w:lang w:eastAsia="zh-CN"/>
        </w:rPr>
        <w:t>PAs remain the dominant energy consumer in the RF chain. 6G should push power-added efficiency well beyond 5G levels, especially at high frequencies (FR3 and above) where efficiency naturally drops. For BSs, GaN, advanced Doherty, and dynamic supply modulation including symbol-level tracking can sustain high efficiency across wide bandwidths and varying loads. For UEs, refined envelope tracking and PA modules tailored for new bands can extend battery life. High efficiency over a broad dynamic range reduces wasted heat and supports sustainable operation.</w:t>
      </w:r>
      <w:r>
        <w:rPr>
          <w:rFonts w:hint="eastAsia"/>
          <w:lang w:eastAsia="zh-CN"/>
        </w:rPr>
        <w:t xml:space="preserve"> </w:t>
      </w:r>
    </w:p>
    <w:p w14:paraId="1B0252B2">
      <w:pPr>
        <w:rPr>
          <w:lang w:eastAsia="zh-CN"/>
        </w:rPr>
      </w:pPr>
      <w:r>
        <w:rPr>
          <w:lang w:eastAsia="zh-CN"/>
        </w:rPr>
        <w:t>High-PAPR waveforms like OFDM force large PA back-off, lowering efficiency. 6G should promote low-PAPR designs, e.g., DFT-spread OFDM in more links, constant-envelope or continuous-phase modulation for low-power modes, and advanced PAPR reduction techniques. Lower PAPR enables PAs to run closer to saturation, directly improving bits/Joule, especially critical for battery-powered UEs and high-frequency BS transmitters.</w:t>
      </w:r>
    </w:p>
    <w:p w14:paraId="2382C483">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val="en-US" w:eastAsia="zh-CN"/>
        </w:rPr>
        <w:t>42</w:t>
      </w:r>
      <w:r>
        <w:rPr>
          <w:rFonts w:ascii="Times New Roman Bold Italic" w:hAnsi="Times New Roman Bold Italic" w:cs="Times New Roman Bold Italic"/>
          <w:b/>
          <w:bCs/>
          <w:i/>
          <w:iCs/>
          <w:lang w:eastAsia="zh-CN"/>
        </w:rPr>
        <w:t>: Lower PAPR enables PAs to run closer to saturation, directly improving</w:t>
      </w:r>
      <w:r>
        <w:rPr>
          <w:rFonts w:hint="eastAsia" w:ascii="Times New Roman Bold Italic" w:hAnsi="Times New Roman Bold Italic" w:cs="Times New Roman Bold Italic"/>
          <w:b/>
          <w:bCs/>
          <w:i/>
          <w:iCs/>
          <w:lang w:eastAsia="zh-CN"/>
        </w:rPr>
        <w:t xml:space="preserve"> </w:t>
      </w:r>
      <w:r>
        <w:rPr>
          <w:rFonts w:ascii="Times New Roman Bold Italic" w:hAnsi="Times New Roman Bold Italic" w:cs="Times New Roman Bold Italic"/>
          <w:b/>
          <w:bCs/>
          <w:i/>
          <w:iCs/>
          <w:lang w:eastAsia="zh-CN"/>
        </w:rPr>
        <w:t>energy efficiency (bits/J), especially critical for battery-powered UEs and high-frequency BS transmitters.</w:t>
      </w:r>
    </w:p>
    <w:p w14:paraId="11A7D021">
      <w:pPr>
        <w:numPr>
          <w:ilvl w:val="0"/>
          <w:numId w:val="34"/>
        </w:numPr>
        <w:rPr>
          <w:rFonts w:ascii="Times New Roman Bold" w:hAnsi="Times New Roman Bold" w:cs="Times New Roman Bold"/>
          <w:b/>
          <w:bCs/>
          <w:lang w:eastAsia="zh-CN"/>
        </w:rPr>
      </w:pPr>
      <w:r>
        <w:rPr>
          <w:rFonts w:ascii="Times New Roman Bold" w:hAnsi="Times New Roman Bold" w:cs="Times New Roman Bold"/>
          <w:b/>
          <w:bCs/>
          <w:lang w:eastAsia="zh-CN"/>
        </w:rPr>
        <w:t>Power Control and Dynamic Transmission</w:t>
      </w:r>
    </w:p>
    <w:p w14:paraId="16A4103D">
      <w:pPr>
        <w:rPr>
          <w:lang w:eastAsia="zh-CN"/>
        </w:rPr>
      </w:pPr>
      <w:r>
        <w:rPr>
          <w:lang w:eastAsia="zh-CN"/>
        </w:rPr>
        <w:t>Dynamic, context-aware power control will avoid over-provisioning transmit power. BSs can adapt power per beam/user, deactivate antennas, and coordinate across cells to minimize total radiated power. UEs can fine-tune uplink power to just meet link quality targets. In addition, building on 5G’s lean design, 6G could expand deep sleep for both BS and UE PAs, shutting down circuits during idle periods. Wake-up receivers and low-power trigger signals allow rapid reactivation with minimal overhead. This maximizes “off” time without degrading responsiveness, a key factor in lowering average energy consumption.</w:t>
      </w:r>
    </w:p>
    <w:p w14:paraId="275495D1">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4</w:t>
      </w:r>
      <w:r>
        <w:rPr>
          <w:rFonts w:hint="eastAsia" w:ascii="Times New Roman Bold Italic" w:hAnsi="Times New Roman Bold Italic" w:cs="Times New Roman Bold Italic"/>
          <w:b/>
          <w:bCs/>
          <w:i/>
          <w:iCs/>
          <w:lang w:val="en-US" w:eastAsia="zh-CN"/>
        </w:rPr>
        <w:t>3</w:t>
      </w:r>
      <w:r>
        <w:rPr>
          <w:rFonts w:ascii="Times New Roman Bold Italic" w:hAnsi="Times New Roman Bold Italic" w:cs="Times New Roman Bold Italic"/>
          <w:b/>
          <w:bCs/>
          <w:i/>
          <w:iCs/>
          <w:lang w:eastAsia="zh-CN"/>
        </w:rPr>
        <w:t xml:space="preserve">: </w:t>
      </w:r>
      <w:r>
        <w:rPr>
          <w:rFonts w:hint="eastAsia" w:ascii="Times New Roman Bold Italic" w:hAnsi="Times New Roman Bold Italic" w:cs="Times New Roman Bold Italic"/>
          <w:b/>
          <w:bCs/>
          <w:i/>
          <w:iCs/>
          <w:lang w:eastAsia="zh-CN"/>
        </w:rPr>
        <w:t>E</w:t>
      </w:r>
      <w:r>
        <w:rPr>
          <w:rFonts w:ascii="Times New Roman Bold Italic" w:hAnsi="Times New Roman Bold Italic" w:cs="Times New Roman Bold Italic"/>
          <w:b/>
          <w:bCs/>
          <w:i/>
          <w:iCs/>
          <w:lang w:eastAsia="zh-CN"/>
        </w:rPr>
        <w:t>xpanded deep sleep for both BS and UE PAs, could have some benefits of reducing interference and extending device runtime.</w:t>
      </w:r>
    </w:p>
    <w:p w14:paraId="6964C5A6">
      <w:pPr>
        <w:numPr>
          <w:ilvl w:val="0"/>
          <w:numId w:val="34"/>
        </w:numPr>
        <w:rPr>
          <w:rFonts w:ascii="Times New Roman Bold" w:hAnsi="Times New Roman Bold" w:cs="Times New Roman Bold"/>
          <w:b/>
          <w:bCs/>
          <w:lang w:eastAsia="zh-CN"/>
        </w:rPr>
      </w:pPr>
      <w:r>
        <w:rPr>
          <w:rFonts w:ascii="Times New Roman Bold" w:hAnsi="Times New Roman Bold" w:cs="Times New Roman Bold"/>
          <w:b/>
          <w:bCs/>
          <w:lang w:eastAsia="zh-CN"/>
        </w:rPr>
        <w:t>Linearity vs. Efficiency Trade-offs</w:t>
      </w:r>
    </w:p>
    <w:p w14:paraId="72533065">
      <w:pPr>
        <w:rPr>
          <w:lang w:eastAsia="zh-CN"/>
        </w:rPr>
      </w:pPr>
      <w:r>
        <w:rPr>
          <w:lang w:eastAsia="zh-CN"/>
        </w:rPr>
        <w:t>Strict EVM and ACLR requirements protect signal quality and adjacent channels but constrain PA efficiency. 6G could adopt adaptive emission masks and context-based EVM targets, allowing more non-linearity (and thus higher efficiency) when interference risk is low or modulation order is modest. This requires careful standardization to prevent harmful emissions.</w:t>
      </w:r>
    </w:p>
    <w:p w14:paraId="2367E640">
      <w:pPr>
        <w:rPr>
          <w:lang w:eastAsia="zh-CN"/>
        </w:rPr>
      </w:pPr>
      <w:r>
        <w:rPr>
          <w:lang w:eastAsia="zh-CN"/>
        </w:rPr>
        <w:t xml:space="preserve">RAN4 will be central in defining power classes, emission masks, and possibly new energy KPIs (e.g., Joules/bit, W/user). Power classes may expand to cover </w:t>
      </w:r>
      <w:r>
        <w:rPr>
          <w:rFonts w:hint="eastAsia"/>
          <w:lang w:eastAsia="zh-CN"/>
        </w:rPr>
        <w:t>LPWA devices</w:t>
      </w:r>
      <w:r>
        <w:rPr>
          <w:lang w:eastAsia="zh-CN"/>
        </w:rPr>
        <w:t xml:space="preserve"> and high-power specialized UEs, with efficiency benchmarks. Standards can also formalize signaling for network-controlled sleep/wake and dynamic RF parameter adjustment for energy savings.</w:t>
      </w:r>
    </w:p>
    <w:p w14:paraId="3284836A">
      <w:pPr>
        <w:rPr>
          <w:lang w:eastAsia="zh-CN"/>
        </w:rPr>
      </w:pPr>
      <w:r>
        <w:rPr>
          <w:rFonts w:hint="eastAsia"/>
          <w:b/>
          <w:bCs/>
          <w:i/>
          <w:iCs/>
          <w:lang w:eastAsia="zh-CN"/>
        </w:rPr>
        <w:t xml:space="preserve">Observation </w:t>
      </w:r>
      <w:r>
        <w:rPr>
          <w:rFonts w:hint="default"/>
          <w:b/>
          <w:bCs/>
          <w:i/>
          <w:iCs/>
          <w:lang w:val="en-US" w:eastAsia="zh-CN"/>
        </w:rPr>
        <w:t>4</w:t>
      </w:r>
      <w:r>
        <w:rPr>
          <w:rFonts w:hint="eastAsia"/>
          <w:b/>
          <w:bCs/>
          <w:i/>
          <w:iCs/>
          <w:lang w:val="en-US" w:eastAsia="zh-CN"/>
        </w:rPr>
        <w:t>4</w:t>
      </w:r>
      <w:r>
        <w:rPr>
          <w:rFonts w:hint="eastAsia"/>
          <w:b/>
          <w:bCs/>
          <w:i/>
          <w:iCs/>
          <w:lang w:eastAsia="zh-CN"/>
        </w:rPr>
        <w:t>：Adaptive emi</w:t>
      </w:r>
      <w:r>
        <w:rPr>
          <w:b/>
          <w:bCs/>
          <w:i/>
          <w:iCs/>
          <w:lang w:eastAsia="zh-CN"/>
        </w:rPr>
        <w:t xml:space="preserve">ssion masks and context-based EVM can allow more non-linearity and thus higher efficiency. Also, power classes may expand to cover </w:t>
      </w:r>
      <w:r>
        <w:rPr>
          <w:rFonts w:hint="eastAsia"/>
          <w:b/>
          <w:bCs/>
          <w:i/>
          <w:iCs/>
          <w:lang w:eastAsia="zh-CN"/>
        </w:rPr>
        <w:t>LPWA devices</w:t>
      </w:r>
      <w:r>
        <w:rPr>
          <w:b/>
          <w:bCs/>
          <w:i/>
          <w:iCs/>
          <w:lang w:eastAsia="zh-CN"/>
        </w:rPr>
        <w:t xml:space="preserve"> and high-power specialized UEs, with efficiency benchmarks.</w:t>
      </w:r>
    </w:p>
    <w:p w14:paraId="348E4857">
      <w:pPr>
        <w:rPr>
          <w:lang w:eastAsia="zh-CN"/>
        </w:rPr>
      </w:pPr>
      <w:r>
        <w:rPr>
          <w:lang w:eastAsia="zh-CN"/>
        </w:rPr>
        <w:t>By combining hardware innovation, waveform design, intelligent control, and supportive standards, 6G can achieve its performance ambitions while sharply improving sustainability.</w:t>
      </w:r>
    </w:p>
    <w:p w14:paraId="28B1F64E">
      <w:pPr>
        <w:rPr>
          <w:b/>
          <w:bCs/>
          <w:i/>
          <w:iCs/>
          <w:lang w:eastAsia="zh-CN"/>
        </w:rPr>
      </w:pPr>
      <w:r>
        <w:rPr>
          <w:b/>
          <w:bCs/>
          <w:i/>
          <w:iCs/>
          <w:lang w:eastAsia="zh-CN"/>
        </w:rPr>
        <w:t xml:space="preserve">Proposal </w:t>
      </w:r>
      <w:r>
        <w:rPr>
          <w:rFonts w:hint="eastAsia"/>
          <w:b/>
          <w:bCs/>
          <w:i/>
          <w:iCs/>
          <w:lang w:val="en-US" w:eastAsia="zh-CN"/>
        </w:rPr>
        <w:t>36</w:t>
      </w:r>
      <w:r>
        <w:rPr>
          <w:b/>
          <w:bCs/>
          <w:i/>
          <w:iCs/>
          <w:lang w:eastAsia="zh-CN"/>
        </w:rPr>
        <w:t>: Discuss potential power domain transmission technologies to improve sustainability in 6G day 1, at least including lower PAPR considerations, power control considerations, and expanded deep sleep for both BS and UE PAs, a</w:t>
      </w:r>
      <w:r>
        <w:rPr>
          <w:rFonts w:hint="eastAsia"/>
          <w:b/>
          <w:bCs/>
          <w:i/>
          <w:iCs/>
          <w:lang w:eastAsia="zh-CN"/>
        </w:rPr>
        <w:t>daptive emi</w:t>
      </w:r>
      <w:r>
        <w:rPr>
          <w:b/>
          <w:bCs/>
          <w:i/>
          <w:iCs/>
          <w:lang w:eastAsia="zh-CN"/>
        </w:rPr>
        <w:t>ssion masks and context-based EVM in RAN 1.</w:t>
      </w:r>
    </w:p>
    <w:p w14:paraId="21A33E45">
      <w:pPr>
        <w:rPr>
          <w:b/>
          <w:bCs/>
          <w:i/>
          <w:iCs/>
          <w:lang w:eastAsia="zh-CN"/>
        </w:rPr>
      </w:pPr>
    </w:p>
    <w:p w14:paraId="713A9317">
      <w:pPr>
        <w:pStyle w:val="3"/>
        <w:numPr>
          <w:ilvl w:val="1"/>
          <w:numId w:val="0"/>
        </w:numPr>
        <w:tabs>
          <w:tab w:val="clear" w:pos="576"/>
        </w:tabs>
        <w:ind w:leftChars="0"/>
        <w:rPr>
          <w:rFonts w:hint="default"/>
          <w:lang w:val="en-US" w:eastAsia="zh-CN"/>
        </w:rPr>
      </w:pPr>
      <w:r>
        <w:rPr>
          <w:rFonts w:hint="default"/>
          <w:lang w:val="en-US" w:eastAsia="zh-CN"/>
        </w:rPr>
        <w:t xml:space="preserve">5.5 </w:t>
      </w:r>
      <w:r>
        <w:rPr>
          <w:lang w:eastAsia="zh-CN"/>
        </w:rPr>
        <w:t>Physical air interface technologies for 6GR energy efficiency</w:t>
      </w:r>
      <w:r>
        <w:rPr>
          <w:rFonts w:hint="default"/>
          <w:lang w:val="en-US" w:eastAsia="zh-CN"/>
        </w:rPr>
        <w:t xml:space="preserve"> </w:t>
      </w:r>
    </w:p>
    <w:p w14:paraId="50310D11">
      <w:pPr>
        <w:rPr>
          <w:lang w:eastAsia="zh-CN"/>
        </w:rPr>
      </w:pPr>
      <w:r>
        <w:rPr>
          <w:lang w:eastAsia="zh-CN"/>
        </w:rPr>
        <w:t xml:space="preserve">This </w:t>
      </w:r>
      <w:r>
        <w:rPr>
          <w:rFonts w:hint="eastAsia"/>
          <w:lang w:eastAsia="zh-CN"/>
        </w:rPr>
        <w:t>sub</w:t>
      </w:r>
      <w:r>
        <w:rPr>
          <w:lang w:eastAsia="zh-CN"/>
        </w:rPr>
        <w:t>-section analyzes how key physical layer design elements (e.g., waveform, modulation, coding/FEC, frame structure, and sequence design) affect 6G energy efficiency. It highlights techniques such as SC-FDMA, constant-envelope modulation, low-complexity FEC, deep sleep frame design, and robust wake-up sequences as critical for reducing UE power consumption, improving PA efficiency, and enabling ultra-low-power operation across diverse 6G use cases.</w:t>
      </w:r>
    </w:p>
    <w:p w14:paraId="232E8EB0">
      <w:pPr>
        <w:numPr>
          <w:ilvl w:val="0"/>
          <w:numId w:val="35"/>
        </w:numPr>
        <w:rPr>
          <w:lang w:eastAsia="zh-CN"/>
        </w:rPr>
      </w:pPr>
      <w:r>
        <w:rPr>
          <w:rFonts w:ascii="Times New Roman Bold" w:hAnsi="Times New Roman Bold" w:cs="Times New Roman Bold"/>
          <w:b/>
          <w:bCs/>
          <w:lang w:eastAsia="zh-CN"/>
        </w:rPr>
        <w:t>Waveform Selection and PAPR Efficiency:</w:t>
      </w:r>
      <w:r>
        <w:rPr>
          <w:lang w:eastAsia="zh-CN"/>
        </w:rPr>
        <w:t xml:space="preserve"> OFDM is spectrally efficient but has high PAPR, reducing PA efficiency. Uplink SC-FDMA lowers PAPR, letting UEs operate PAs closer to saturation. NB-IoT’s single-tone uplink offers constant-envelope transmission with minimal PA back-off. For LP-WUS or LP-SS, hybrid OFDM-OOK encodes bits as the presence/absence of energy in each OFDM symbol, enabling simple envelope detection while remaining NR-compatible. Future 6G may deploy multiple waveforms, include that standard OFDM for high-rate users and ultra-narrowband constant-envelope schemes for LPWA devices or WUR. This flexible approach balances spectral coexistence with device power constraints, allowing efficient operation across diverse 6G use cases.</w:t>
      </w:r>
    </w:p>
    <w:p w14:paraId="4F3F9B54">
      <w:pPr>
        <w:numPr>
          <w:ilvl w:val="0"/>
          <w:numId w:val="36"/>
        </w:numPr>
        <w:rPr>
          <w:lang w:eastAsia="zh-CN"/>
        </w:rPr>
      </w:pPr>
      <w:r>
        <w:rPr>
          <w:rFonts w:ascii="Times New Roman Bold" w:hAnsi="Times New Roman Bold" w:cs="Times New Roman Bold"/>
          <w:b/>
          <w:bCs/>
          <w:lang w:eastAsia="zh-CN"/>
        </w:rPr>
        <w:t>Modulation Schemes and PA Efficiency:</w:t>
      </w:r>
      <w:r>
        <w:rPr>
          <w:lang w:eastAsia="zh-CN"/>
        </w:rPr>
        <w:t xml:space="preserve"> Low-order constant-envelope modulations (e.g., BPSK or QPSK) reduce PA linearity needs and decoding complexity. BPSK offers ~3 dB SNR gain over OOK and supports high PA efficiency. pi/2-BPSK in NR uplink further lowers PAPR. OOK enables ultra-simple envelope detection for passive or wake-up reception but suffers from noise sensitivity, requiring strong FEC or low rates. FSK and CP-FSK provide non-coherent detection with robustness at low SNR, at the expense of bandwidth efficiency. 6G should adapt modulation choice to LPWA device energy budgets: e.g., OOK for wake-up, BPSK/QPSK for active low-power uplink, and FSK variants for passive multi-tag scenarios.</w:t>
      </w:r>
    </w:p>
    <w:p w14:paraId="67D3C480">
      <w:pPr>
        <w:numPr>
          <w:ilvl w:val="0"/>
          <w:numId w:val="36"/>
        </w:numPr>
        <w:rPr>
          <w:lang w:eastAsia="zh-CN"/>
        </w:rPr>
      </w:pPr>
      <w:r>
        <w:rPr>
          <w:rFonts w:ascii="Times New Roman Bold" w:hAnsi="Times New Roman Bold" w:cs="Times New Roman Bold"/>
          <w:b/>
          <w:bCs/>
          <w:lang w:eastAsia="zh-CN"/>
        </w:rPr>
        <w:t>Channel Coding and Repetition:</w:t>
      </w:r>
      <w:r>
        <w:rPr>
          <w:lang w:eastAsia="zh-CN"/>
        </w:rPr>
        <w:t xml:space="preserve"> FEC improves link budget but must minimize decoding energy. NB-IoT uses convolutional codes with Viterbi decoding for low complexity, relying on low rates and heavy repetition for coverage. High-throughput LDPC/Polar codes suit broadband but are inefficient for short IoT messages. For ultra-low-power 6G, short-block or non-iterative codes may be preferable. Repetition enhances reliability without increasing per-bit energy but adds latency and resource use. Adaptive repetition, adjusting repeat count and frequency hopping based on channel, can avoid excess energy use while maintaining robust coverage.</w:t>
      </w:r>
    </w:p>
    <w:p w14:paraId="374A0F94">
      <w:pPr>
        <w:numPr>
          <w:ilvl w:val="0"/>
          <w:numId w:val="36"/>
        </w:numPr>
        <w:rPr>
          <w:lang w:eastAsia="zh-CN"/>
        </w:rPr>
      </w:pPr>
      <w:r>
        <w:rPr>
          <w:rFonts w:ascii="Times New Roman Bold" w:hAnsi="Times New Roman Bold" w:cs="Times New Roman Bold"/>
          <w:b/>
          <w:bCs/>
          <w:lang w:eastAsia="zh-CN"/>
        </w:rPr>
        <w:t>Frame Structure and Sleep Modes:</w:t>
      </w:r>
      <w:r>
        <w:rPr>
          <w:lang w:eastAsia="zh-CN"/>
        </w:rPr>
        <w:t xml:space="preserve"> Efficient frame design maximizes device sleep time. 5G’s RRC Inactive with Wake-Up Signals reduces idle listening. For active sessions, persistent or grouped scheduling reduces frequent wake-ups. For example, for small IoT payloads, larger-granularity resource assignments lower overhead compared to frequent mini-slot scheduling, aligning active time with data needs and extending battery life.</w:t>
      </w:r>
    </w:p>
    <w:p w14:paraId="1BF2223E">
      <w:pPr>
        <w:numPr>
          <w:ilvl w:val="0"/>
          <w:numId w:val="36"/>
        </w:numPr>
        <w:rPr>
          <w:lang w:eastAsia="zh-CN"/>
        </w:rPr>
      </w:pPr>
      <w:r>
        <w:rPr>
          <w:rFonts w:ascii="Times New Roman Bold" w:hAnsi="Times New Roman Bold" w:cs="Times New Roman Bold"/>
          <w:b/>
          <w:bCs/>
          <w:lang w:eastAsia="zh-CN"/>
        </w:rPr>
        <w:t>Sequence Design</w:t>
      </w:r>
      <w:r>
        <w:rPr>
          <w:lang w:eastAsia="zh-CN"/>
        </w:rPr>
        <w:t xml:space="preserve">: Special sequences enable low-power wake-up and synchronization. WUS/LP-WUS patterns in 5G allow targeted paging group activation; in 6G, unique sequences per device/group could further minimize false wakes. Sequences should be low cross-correlation, noise-robust, and detectable by simple energy detectors. </w:t>
      </w:r>
    </w:p>
    <w:p w14:paraId="6F1672CB">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4</w:t>
      </w:r>
      <w:r>
        <w:rPr>
          <w:rFonts w:hint="eastAsia" w:ascii="Times New Roman Bold Italic" w:hAnsi="Times New Roman Bold Italic" w:cs="Times New Roman Bold Italic"/>
          <w:b/>
          <w:bCs/>
          <w:i/>
          <w:iCs/>
          <w:lang w:val="en-US" w:eastAsia="zh-CN"/>
        </w:rPr>
        <w:t>5</w:t>
      </w:r>
      <w:r>
        <w:rPr>
          <w:rFonts w:ascii="Times New Roman Bold Italic" w:hAnsi="Times New Roman Bold Italic" w:cs="Times New Roman Bold Italic"/>
          <w:b/>
          <w:bCs/>
          <w:i/>
          <w:iCs/>
          <w:lang w:eastAsia="zh-CN"/>
        </w:rPr>
        <w:t>: Some physical air interface techniques such as SC-FDMA, constant-envelope modulation, low-complexity FEC, deep sleep frame design, and robust wake-up sequences is needed for reducing UE power consumption, improving PA efficiency, and enabling ultra-low-power operation across diverse 6G use cases.</w:t>
      </w:r>
    </w:p>
    <w:p w14:paraId="476D1033">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Proposal </w:t>
      </w:r>
      <w:r>
        <w:rPr>
          <w:rFonts w:hint="eastAsia" w:ascii="Times New Roman Bold Italic" w:hAnsi="Times New Roman Bold Italic" w:cs="Times New Roman Bold Italic"/>
          <w:b/>
          <w:bCs/>
          <w:i/>
          <w:iCs/>
          <w:lang w:val="en-US" w:eastAsia="zh-CN"/>
        </w:rPr>
        <w:t>37</w:t>
      </w:r>
      <w:r>
        <w:rPr>
          <w:rFonts w:ascii="Times New Roman Bold Italic" w:hAnsi="Times New Roman Bold Italic" w:cs="Times New Roman Bold Italic"/>
          <w:b/>
          <w:bCs/>
          <w:i/>
          <w:iCs/>
          <w:lang w:eastAsia="zh-CN"/>
        </w:rPr>
        <w:t xml:space="preserve">: Discussion on </w:t>
      </w:r>
      <w:r>
        <w:rPr>
          <w:rFonts w:hint="eastAsia" w:ascii="Times New Roman Bold Italic" w:hAnsi="Times New Roman Bold Italic" w:cs="Times New Roman Bold Italic"/>
          <w:b/>
          <w:bCs/>
          <w:i/>
          <w:iCs/>
          <w:lang w:eastAsia="zh-CN"/>
        </w:rPr>
        <w:t>how</w:t>
      </w:r>
      <w:r>
        <w:rPr>
          <w:rFonts w:ascii="Times New Roman Bold Italic" w:hAnsi="Times New Roman Bold Italic" w:cs="Times New Roman Bold Italic"/>
          <w:b/>
          <w:bCs/>
          <w:i/>
          <w:iCs/>
          <w:lang w:eastAsia="zh-CN"/>
        </w:rPr>
        <w:t xml:space="preserve"> </w:t>
      </w:r>
      <w:r>
        <w:rPr>
          <w:rFonts w:hint="eastAsia" w:ascii="Times New Roman Bold Italic" w:hAnsi="Times New Roman Bold Italic" w:cs="Times New Roman Bold Italic"/>
          <w:b/>
          <w:bCs/>
          <w:i/>
          <w:iCs/>
          <w:lang w:eastAsia="zh-CN"/>
        </w:rPr>
        <w:t>to</w:t>
      </w:r>
      <w:r>
        <w:rPr>
          <w:rFonts w:ascii="Times New Roman Bold Italic" w:hAnsi="Times New Roman Bold Italic" w:cs="Times New Roman Bold Italic"/>
          <w:b/>
          <w:bCs/>
          <w:i/>
          <w:iCs/>
          <w:lang w:eastAsia="zh-CN"/>
        </w:rPr>
        <w:t xml:space="preserve"> include</w:t>
      </w:r>
      <w:r>
        <w:rPr>
          <w:rFonts w:hint="eastAsia" w:ascii="Times New Roman Bold Italic" w:hAnsi="Times New Roman Bold Italic" w:cs="Times New Roman Bold Italic"/>
          <w:b/>
          <w:bCs/>
          <w:i/>
          <w:iCs/>
          <w:lang w:eastAsia="zh-CN"/>
        </w:rPr>
        <w:t xml:space="preserve"> the</w:t>
      </w:r>
      <w:r>
        <w:rPr>
          <w:rFonts w:ascii="Times New Roman Bold Italic" w:hAnsi="Times New Roman Bold Italic" w:cs="Times New Roman Bold Italic"/>
          <w:b/>
          <w:bCs/>
          <w:i/>
          <w:iCs/>
          <w:lang w:eastAsia="zh-CN"/>
        </w:rPr>
        <w:t xml:space="preserve"> impact of physical air interface design (e.g., waveform, coding, frame structure, sequence design, etc.) in 6G energy efficiency from day 1. </w:t>
      </w:r>
    </w:p>
    <w:p w14:paraId="293F71DA">
      <w:pPr>
        <w:pBdr>
          <w:bottom w:val="single" w:color="auto" w:sz="4" w:space="1"/>
        </w:pBdr>
        <w:spacing w:after="0"/>
        <w:jc w:val="left"/>
        <w:rPr>
          <w:b/>
          <w:kern w:val="2"/>
          <w:sz w:val="16"/>
          <w:szCs w:val="16"/>
          <w:lang w:eastAsia="zh-CN"/>
        </w:rPr>
      </w:pPr>
    </w:p>
    <w:p w14:paraId="74B8D9AC">
      <w:pPr>
        <w:pStyle w:val="2"/>
        <w:numPr>
          <w:ilvl w:val="0"/>
          <w:numId w:val="0"/>
        </w:numPr>
        <w:ind w:leftChars="0"/>
      </w:pPr>
      <w:r>
        <w:rPr>
          <w:rFonts w:hint="eastAsia"/>
          <w:lang w:val="en-US" w:eastAsia="zh-CN"/>
        </w:rPr>
        <w:t xml:space="preserve">6 </w:t>
      </w:r>
      <w:r>
        <w:rPr>
          <w:rFonts w:hint="eastAsia"/>
          <w:lang w:eastAsia="zh-CN"/>
        </w:rPr>
        <w:t xml:space="preserve"> </w:t>
      </w:r>
      <w:r>
        <w:t>Conclusion</w:t>
      </w:r>
      <w:r>
        <w:rPr>
          <w:rFonts w:hint="eastAsia"/>
          <w:lang w:val="en-US" w:eastAsia="zh-CN"/>
        </w:rPr>
        <w:t>s</w:t>
      </w:r>
    </w:p>
    <w:p w14:paraId="520EBAFB">
      <w:pPr>
        <w:rPr>
          <w:rFonts w:eastAsia="等线"/>
          <w:lang w:eastAsia="zh-CN"/>
        </w:rPr>
      </w:pPr>
      <w:r>
        <w:t xml:space="preserve">In this contribution, we discussed </w:t>
      </w:r>
      <w:r>
        <w:rPr>
          <w:rFonts w:hint="eastAsia"/>
          <w:lang w:eastAsia="zh-CN"/>
        </w:rPr>
        <w:t>the</w:t>
      </w:r>
      <w:r>
        <w:rPr>
          <w:lang w:eastAsia="zh-CN"/>
        </w:rPr>
        <w:t xml:space="preserve"> </w:t>
      </w:r>
      <w:r>
        <w:rPr>
          <w:rFonts w:hint="eastAsia" w:eastAsia="等线"/>
          <w:lang w:eastAsia="zh-CN"/>
        </w:rPr>
        <w:t>background on energy-saving techniques from LTE through 5G</w:t>
      </w:r>
      <w:r>
        <w:rPr>
          <w:rFonts w:eastAsia="等线"/>
          <w:lang w:eastAsia="zh-CN"/>
        </w:rPr>
        <w:t>, terminal types or terminal mode considerations to consider energy savings, and i</w:t>
      </w:r>
      <w:r>
        <w:rPr>
          <w:rFonts w:hint="eastAsia" w:eastAsia="等线"/>
          <w:lang w:eastAsia="zh-CN"/>
        </w:rPr>
        <w:t xml:space="preserve">dentified technical challenges and potential solutions for 6G in network, </w:t>
      </w:r>
      <w:r>
        <w:rPr>
          <w:rFonts w:eastAsia="等线"/>
          <w:lang w:eastAsia="zh-CN"/>
        </w:rPr>
        <w:t>terminal</w:t>
      </w:r>
      <w:r>
        <w:rPr>
          <w:rFonts w:hint="eastAsia" w:eastAsia="等线"/>
          <w:lang w:eastAsia="zh-CN"/>
        </w:rPr>
        <w:t>, and collaborative domains.</w:t>
      </w:r>
      <w:r>
        <w:rPr>
          <w:rFonts w:eastAsia="等线"/>
          <w:lang w:eastAsia="zh-CN"/>
        </w:rPr>
        <w:t xml:space="preserve"> </w:t>
      </w:r>
    </w:p>
    <w:p w14:paraId="0CABA767">
      <w:pPr>
        <w:numPr>
          <w:ilvl w:val="0"/>
          <w:numId w:val="0"/>
        </w:numPr>
        <w:outlineLvl w:val="1"/>
        <w:rPr>
          <w:rFonts w:ascii="Times New Roman Bold Italic" w:hAnsi="Times New Roman Bold Italic" w:eastAsia="等线" w:cs="Times New Roman Bold Italic"/>
          <w:b/>
          <w:bCs/>
          <w:i/>
          <w:iCs/>
          <w:highlight w:val="yellow"/>
          <w:u w:val="single"/>
          <w:lang w:eastAsia="zh-CN"/>
        </w:rPr>
      </w:pPr>
      <w:r>
        <w:rPr>
          <w:rFonts w:hint="eastAsia" w:ascii="Times New Roman Bold Italic" w:hAnsi="Times New Roman Bold Italic" w:eastAsia="等线" w:cs="Times New Roman Bold Italic"/>
          <w:b/>
          <w:bCs/>
          <w:i/>
          <w:iCs/>
          <w:highlight w:val="yellow"/>
          <w:u w:val="single"/>
          <w:lang w:val="en-US" w:eastAsia="zh-CN"/>
        </w:rPr>
        <w:t>The</w:t>
      </w:r>
      <w:r>
        <w:rPr>
          <w:rFonts w:hint="default" w:ascii="Times New Roman Bold Italic" w:hAnsi="Times New Roman Bold Italic" w:eastAsia="等线" w:cs="Times New Roman Bold Italic"/>
          <w:b/>
          <w:bCs/>
          <w:i/>
          <w:iCs/>
          <w:highlight w:val="yellow"/>
          <w:u w:val="single"/>
          <w:lang w:val="en-US" w:eastAsia="zh-CN"/>
        </w:rPr>
        <w:t xml:space="preserve"> impact of </w:t>
      </w:r>
      <w:r>
        <w:rPr>
          <w:rFonts w:ascii="Times New Roman Bold Italic" w:hAnsi="Times New Roman Bold Italic" w:eastAsia="等线" w:cs="Times New Roman Bold Italic"/>
          <w:b/>
          <w:bCs/>
          <w:i/>
          <w:iCs/>
          <w:highlight w:val="yellow"/>
          <w:u w:val="single"/>
          <w:lang w:eastAsia="zh-CN"/>
        </w:rPr>
        <w:t>6G</w:t>
      </w:r>
      <w:r>
        <w:rPr>
          <w:rFonts w:hint="default" w:ascii="Times New Roman Bold Italic" w:hAnsi="Times New Roman Bold Italic" w:eastAsia="等线" w:cs="Times New Roman Bold Italic"/>
          <w:b/>
          <w:bCs/>
          <w:i/>
          <w:iCs/>
          <w:highlight w:val="yellow"/>
          <w:u w:val="single"/>
          <w:lang w:val="en-US" w:eastAsia="zh-CN"/>
        </w:rPr>
        <w:t>R</w:t>
      </w:r>
      <w:r>
        <w:rPr>
          <w:rFonts w:ascii="Times New Roman Bold Italic" w:hAnsi="Times New Roman Bold Italic" w:eastAsia="等线" w:cs="Times New Roman Bold Italic"/>
          <w:b/>
          <w:bCs/>
          <w:i/>
          <w:iCs/>
          <w:highlight w:val="yellow"/>
          <w:u w:val="single"/>
          <w:lang w:eastAsia="zh-CN"/>
        </w:rPr>
        <w:t xml:space="preserve"> </w:t>
      </w:r>
      <w:r>
        <w:rPr>
          <w:rFonts w:hint="default" w:ascii="Times New Roman Bold Italic" w:hAnsi="Times New Roman Bold Italic" w:eastAsia="等线" w:cs="Times New Roman Bold Italic"/>
          <w:b/>
          <w:bCs/>
          <w:i/>
          <w:iCs/>
          <w:highlight w:val="yellow"/>
          <w:u w:val="single"/>
          <w:lang w:val="en-US" w:eastAsia="zh-CN"/>
        </w:rPr>
        <w:t>t</w:t>
      </w:r>
      <w:r>
        <w:rPr>
          <w:rFonts w:ascii="Times New Roman Bold Italic" w:hAnsi="Times New Roman Bold Italic" w:eastAsia="等线" w:cs="Times New Roman Bold Italic"/>
          <w:b/>
          <w:bCs/>
          <w:i/>
          <w:iCs/>
          <w:highlight w:val="yellow"/>
          <w:u w:val="single"/>
          <w:lang w:eastAsia="zh-CN"/>
        </w:rPr>
        <w:t xml:space="preserve">erminal </w:t>
      </w:r>
      <w:r>
        <w:rPr>
          <w:rFonts w:hint="default" w:ascii="Times New Roman Bold Italic" w:hAnsi="Times New Roman Bold Italic" w:eastAsia="等线" w:cs="Times New Roman Bold Italic"/>
          <w:b/>
          <w:bCs/>
          <w:i/>
          <w:iCs/>
          <w:highlight w:val="yellow"/>
          <w:u w:val="single"/>
          <w:lang w:val="en-US" w:eastAsia="zh-CN"/>
        </w:rPr>
        <w:t>types on 6GR EE</w:t>
      </w:r>
    </w:p>
    <w:p w14:paraId="437C663D">
      <w:pPr>
        <w:pStyle w:val="5"/>
        <w:rPr>
          <w:rFonts w:hint="default" w:ascii="Times New Roman Bold Italic" w:hAnsi="Times New Roman Bold Italic" w:cs="Times New Roman Bold Italic"/>
          <w:b/>
          <w:bCs/>
          <w:i/>
          <w:iCs/>
          <w:sz w:val="22"/>
          <w:szCs w:val="22"/>
        </w:rPr>
      </w:pPr>
      <w:r>
        <w:rPr>
          <w:rFonts w:hint="default" w:ascii="Times New Roman Bold Italic" w:hAnsi="Times New Roman Bold Italic" w:cs="Times New Roman Bold Italic"/>
          <w:b/>
          <w:bCs/>
          <w:i/>
          <w:iCs/>
          <w:sz w:val="22"/>
          <w:szCs w:val="22"/>
        </w:rPr>
        <w:t>Observation</w:t>
      </w:r>
      <w:r>
        <w:rPr>
          <w:rFonts w:hint="default" w:ascii="Times New Roman Bold Italic" w:hAnsi="Times New Roman Bold Italic" w:cs="Times New Roman Bold Italic"/>
          <w:b/>
          <w:bCs/>
          <w:i/>
          <w:iCs/>
          <w:sz w:val="22"/>
          <w:szCs w:val="22"/>
          <w:lang w:val="en-US"/>
        </w:rPr>
        <w:t xml:space="preserve"> 1</w:t>
      </w:r>
      <w:r>
        <w:rPr>
          <w:rFonts w:hint="default" w:ascii="Times New Roman Bold Italic" w:hAnsi="Times New Roman Bold Italic" w:cs="Times New Roman Bold Italic"/>
          <w:b/>
          <w:bCs/>
          <w:i/>
          <w:iCs/>
          <w:sz w:val="22"/>
          <w:szCs w:val="22"/>
        </w:rPr>
        <w:t>:</w:t>
      </w:r>
      <w:r>
        <w:rPr>
          <w:sz w:val="22"/>
          <w:szCs w:val="22"/>
        </w:rPr>
        <w:t xml:space="preserve"> </w:t>
      </w:r>
      <w:r>
        <w:rPr>
          <w:rFonts w:hint="default" w:ascii="Times New Roman Bold Italic" w:hAnsi="Times New Roman Bold Italic" w:cs="Times New Roman Bold Italic"/>
          <w:b/>
          <w:bCs/>
          <w:i/>
          <w:iCs/>
          <w:sz w:val="22"/>
          <w:szCs w:val="22"/>
        </w:rPr>
        <w:t xml:space="preserve">All 6G UEs </w:t>
      </w:r>
      <w:r>
        <w:rPr>
          <w:rFonts w:hint="default" w:ascii="Times New Roman Bold Italic" w:hAnsi="Times New Roman Bold Italic" w:cs="Times New Roman Bold Italic"/>
          <w:b/>
          <w:bCs/>
          <w:i/>
          <w:iCs/>
          <w:sz w:val="22"/>
          <w:szCs w:val="22"/>
          <w:lang w:val="en-US"/>
        </w:rPr>
        <w:t>will</w:t>
      </w:r>
      <w:r>
        <w:rPr>
          <w:rFonts w:hint="default" w:ascii="Times New Roman Bold Italic" w:hAnsi="Times New Roman Bold Italic" w:cs="Times New Roman Bold Italic"/>
          <w:b/>
          <w:bCs/>
          <w:i/>
          <w:iCs/>
          <w:sz w:val="22"/>
          <w:szCs w:val="22"/>
        </w:rPr>
        <w:t xml:space="preserve"> support a minimal narrow bandwidth (3</w:t>
      </w:r>
      <w:r>
        <w:rPr>
          <w:rFonts w:hint="default" w:ascii="Times New Roman Bold Italic" w:hAnsi="Times New Roman Bold Italic" w:cs="Times New Roman Bold Italic"/>
          <w:b/>
          <w:bCs/>
          <w:i/>
          <w:iCs/>
          <w:sz w:val="22"/>
          <w:szCs w:val="22"/>
          <w:lang w:val="en-US"/>
        </w:rPr>
        <w:t xml:space="preserve"> or </w:t>
      </w:r>
      <w:r>
        <w:rPr>
          <w:rFonts w:hint="default" w:ascii="Times New Roman Bold Italic" w:hAnsi="Times New Roman Bold Italic" w:cs="Times New Roman Bold Italic"/>
          <w:b/>
          <w:bCs/>
          <w:i/>
          <w:iCs/>
          <w:sz w:val="22"/>
          <w:szCs w:val="22"/>
        </w:rPr>
        <w:t>5 MHz) for network access, enabling simpler IoT device designs with significantly lower baseline power consumption.</w:t>
      </w:r>
    </w:p>
    <w:p w14:paraId="51067E10">
      <w:pPr>
        <w:pStyle w:val="5"/>
        <w:rPr>
          <w:rFonts w:hint="default" w:ascii="Times New Roman Bold Italic" w:hAnsi="Times New Roman Bold Italic" w:cs="Times New Roman Bold Italic"/>
          <w:b/>
          <w:bCs/>
          <w:i/>
          <w:iCs/>
          <w:kern w:val="2"/>
          <w:sz w:val="22"/>
          <w:szCs w:val="22"/>
          <w:lang w:eastAsia="zh-CN"/>
        </w:rPr>
      </w:pPr>
      <w:r>
        <w:rPr>
          <w:rFonts w:hint="default" w:ascii="Times New Roman Bold Italic" w:hAnsi="Times New Roman Bold Italic" w:cs="Times New Roman Bold Italic"/>
          <w:b/>
          <w:bCs/>
          <w:i/>
          <w:iCs/>
          <w:sz w:val="22"/>
          <w:szCs w:val="22"/>
        </w:rPr>
        <w:t>Observation</w:t>
      </w:r>
      <w:r>
        <w:rPr>
          <w:rFonts w:hint="default" w:ascii="Times New Roman Bold Italic" w:hAnsi="Times New Roman Bold Italic" w:cs="Times New Roman Bold Italic"/>
          <w:b/>
          <w:bCs/>
          <w:i/>
          <w:iCs/>
          <w:sz w:val="22"/>
          <w:szCs w:val="22"/>
          <w:lang w:val="en-US"/>
        </w:rPr>
        <w:t xml:space="preserve"> 2</w:t>
      </w:r>
      <w:r>
        <w:rPr>
          <w:rFonts w:hint="default" w:ascii="Times New Roman Bold Italic" w:hAnsi="Times New Roman Bold Italic" w:cs="Times New Roman Bold Italic"/>
          <w:b/>
          <w:bCs/>
          <w:i/>
          <w:iCs/>
          <w:sz w:val="22"/>
          <w:szCs w:val="22"/>
        </w:rPr>
        <w:t xml:space="preserve">: </w:t>
      </w:r>
      <w:r>
        <w:rPr>
          <w:rFonts w:hint="default" w:ascii="Times New Roman Bold Italic" w:hAnsi="Times New Roman Bold Italic" w:cs="Times New Roman Bold Italic"/>
          <w:b/>
          <w:bCs/>
          <w:i/>
          <w:iCs/>
          <w:sz w:val="22"/>
          <w:szCs w:val="22"/>
          <w:lang w:val="en-US"/>
        </w:rPr>
        <w:t>A</w:t>
      </w:r>
      <w:r>
        <w:rPr>
          <w:rFonts w:hint="default" w:ascii="Times New Roman Bold Italic" w:hAnsi="Times New Roman Bold Italic" w:cs="Times New Roman Bold Italic"/>
          <w:b/>
          <w:bCs/>
          <w:i/>
          <w:iCs/>
          <w:sz w:val="22"/>
          <w:szCs w:val="22"/>
        </w:rPr>
        <w:t xml:space="preserve"> few distinct 6G device classes (IoT, mid-tier, eMBB) from the outset ensures tailored energy-saving designs for each </w:t>
      </w:r>
      <w:r>
        <w:rPr>
          <w:rFonts w:hint="default" w:ascii="Times New Roman Bold Italic" w:hAnsi="Times New Roman Bold Italic" w:cs="Times New Roman Bold Italic"/>
          <w:b/>
          <w:bCs/>
          <w:i/>
          <w:iCs/>
          <w:sz w:val="22"/>
          <w:szCs w:val="22"/>
          <w:lang w:val="en-US"/>
        </w:rPr>
        <w:t>device type, which could</w:t>
      </w:r>
      <w:r>
        <w:rPr>
          <w:rFonts w:hint="default" w:ascii="Times New Roman Bold Italic" w:hAnsi="Times New Roman Bold Italic" w:cs="Times New Roman Bold Italic"/>
          <w:b/>
          <w:bCs/>
          <w:i/>
          <w:iCs/>
          <w:sz w:val="22"/>
          <w:szCs w:val="22"/>
        </w:rPr>
        <w:t xml:space="preserve"> </w:t>
      </w:r>
      <w:r>
        <w:rPr>
          <w:rFonts w:hint="default" w:ascii="Times New Roman Bold Italic" w:hAnsi="Times New Roman Bold Italic" w:cs="Times New Roman Bold Italic"/>
          <w:b/>
          <w:bCs/>
          <w:i/>
          <w:iCs/>
          <w:sz w:val="22"/>
          <w:szCs w:val="22"/>
          <w:lang w:val="en-US"/>
        </w:rPr>
        <w:t>improve discussion efficiency for 6G EE topic</w:t>
      </w:r>
      <w:r>
        <w:rPr>
          <w:rFonts w:hint="default" w:ascii="Times New Roman Bold Italic" w:hAnsi="Times New Roman Bold Italic" w:cs="Times New Roman Bold Italic"/>
          <w:b/>
          <w:bCs/>
          <w:i/>
          <w:iCs/>
          <w:sz w:val="22"/>
          <w:szCs w:val="22"/>
        </w:rPr>
        <w:t>.</w:t>
      </w:r>
    </w:p>
    <w:p w14:paraId="75DCA4C7">
      <w:pPr>
        <w:pBdr>
          <w:bottom w:val="single" w:color="auto" w:sz="4" w:space="1"/>
        </w:pBdr>
        <w:spacing w:after="0"/>
        <w:jc w:val="left"/>
        <w:rPr>
          <w:b/>
          <w:kern w:val="2"/>
          <w:sz w:val="16"/>
          <w:szCs w:val="16"/>
          <w:lang w:eastAsia="zh-CN"/>
        </w:rPr>
      </w:pPr>
    </w:p>
    <w:p w14:paraId="17668392">
      <w:pPr>
        <w:pBdr>
          <w:bottom w:val="single" w:color="auto" w:sz="4" w:space="1"/>
        </w:pBdr>
        <w:spacing w:after="0"/>
        <w:jc w:val="left"/>
        <w:rPr>
          <w:rFonts w:eastAsia="等线"/>
          <w:lang w:eastAsia="zh-CN"/>
        </w:rPr>
      </w:pPr>
      <w:r>
        <w:rPr>
          <w:rFonts w:hint="default" w:ascii="Times New Roman Bold Italic" w:hAnsi="Times New Roman Bold Italic" w:cs="Times New Roman Bold Italic"/>
          <w:b/>
          <w:i/>
          <w:iCs/>
          <w:kern w:val="2"/>
          <w:sz w:val="22"/>
          <w:szCs w:val="22"/>
          <w:lang w:val="en-US" w:eastAsia="zh-CN"/>
        </w:rPr>
        <w:t>Proposal 1: Discuss how UE classes impact on 6GR energy efficiency.</w:t>
      </w:r>
    </w:p>
    <w:p w14:paraId="5507ECAC">
      <w:pPr>
        <w:rPr>
          <w:rFonts w:eastAsia="等线"/>
          <w:lang w:eastAsia="zh-CN"/>
        </w:rPr>
      </w:pPr>
    </w:p>
    <w:p w14:paraId="260C9845">
      <w:pPr>
        <w:numPr>
          <w:ilvl w:val="0"/>
          <w:numId w:val="0"/>
        </w:numPr>
        <w:outlineLvl w:val="1"/>
        <w:rPr>
          <w:rFonts w:hint="eastAsia" w:ascii="Times New Roman Bold Italic" w:hAnsi="Times New Roman Bold Italic" w:eastAsia="等线" w:cs="Times New Roman Bold Italic"/>
          <w:b/>
          <w:bCs/>
          <w:i/>
          <w:iCs/>
          <w:highlight w:val="yellow"/>
          <w:u w:val="single"/>
          <w:lang w:val="en-US" w:eastAsia="zh-CN"/>
        </w:rPr>
      </w:pPr>
      <w:r>
        <w:rPr>
          <w:rFonts w:hint="eastAsia" w:ascii="Times New Roman Bold Italic" w:hAnsi="Times New Roman Bold Italic" w:eastAsia="等线" w:cs="Times New Roman Bold Italic"/>
          <w:b/>
          <w:bCs/>
          <w:i/>
          <w:iCs/>
          <w:highlight w:val="yellow"/>
          <w:u w:val="single"/>
          <w:lang w:val="en-US" w:eastAsia="zh-CN"/>
        </w:rPr>
        <w:t>Metrics</w:t>
      </w:r>
      <w:r>
        <w:rPr>
          <w:rFonts w:hint="default" w:ascii="Times New Roman Bold Italic" w:hAnsi="Times New Roman Bold Italic" w:eastAsia="等线" w:cs="Times New Roman Bold Italic"/>
          <w:b/>
          <w:bCs/>
          <w:i/>
          <w:iCs/>
          <w:highlight w:val="yellow"/>
          <w:u w:val="single"/>
          <w:lang w:val="en-US" w:eastAsia="zh-CN"/>
        </w:rPr>
        <w:t xml:space="preserve"> </w:t>
      </w:r>
      <w:r>
        <w:rPr>
          <w:rFonts w:hint="eastAsia" w:ascii="Times New Roman Bold Italic" w:hAnsi="Times New Roman Bold Italic" w:eastAsia="等线" w:cs="Times New Roman Bold Italic"/>
          <w:b/>
          <w:bCs/>
          <w:i/>
          <w:iCs/>
          <w:highlight w:val="yellow"/>
          <w:u w:val="single"/>
          <w:lang w:val="en-US" w:eastAsia="zh-CN"/>
        </w:rPr>
        <w:t>for 6GR EE</w:t>
      </w:r>
    </w:p>
    <w:p w14:paraId="574D06C9">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eastAsia="zh-CN"/>
        </w:rPr>
        <w:t>3</w:t>
      </w:r>
      <w:r>
        <w:rPr>
          <w:rFonts w:ascii="Times New Roman Bold Italic" w:hAnsi="Times New Roman Bold Italic" w:cs="Times New Roman Bold Italic"/>
          <w:b/>
          <w:bCs/>
          <w:i/>
          <w:iCs/>
          <w:lang w:eastAsia="zh-CN"/>
        </w:rPr>
        <w:t>: The amount of information (bits) transmitted per unit of energy (Joule) as baseline parameter of energy efficiency has been defined in IMT-2020.</w:t>
      </w:r>
    </w:p>
    <w:p w14:paraId="08224908">
      <w:pPr>
        <w:rPr>
          <w:rFonts w:ascii="Times New Roman Bold Italic" w:hAnsi="Times New Roman Bold Italic" w:cs="Times New Roman Bold Italic"/>
          <w:b/>
          <w:bCs/>
          <w:i/>
          <w:iCs/>
          <w:lang w:eastAsia="zh-CN"/>
        </w:rPr>
      </w:pPr>
    </w:p>
    <w:p w14:paraId="195E824B">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eastAsia="zh-CN"/>
        </w:rPr>
        <w:t>4</w:t>
      </w:r>
      <w:r>
        <w:rPr>
          <w:rFonts w:ascii="Times New Roman Bold Italic" w:hAnsi="Times New Roman Bold Italic" w:cs="Times New Roman Bold Italic"/>
          <w:b/>
          <w:bCs/>
          <w:i/>
          <w:iCs/>
          <w:lang w:eastAsia="zh-CN"/>
        </w:rPr>
        <w:t>: Simulation results highlight how deep sleep and dynamic resource adaptation in Config B significantly cut energy use during idle or light load periods, aligning with 3GPP’s defined sleep states (micro/light/deep) for NR base stations.</w:t>
      </w:r>
    </w:p>
    <w:p w14:paraId="36C182E9">
      <w:pPr>
        <w:rPr>
          <w:rFonts w:ascii="Times New Roman Bold Italic" w:hAnsi="Times New Roman Bold Italic" w:cs="Times New Roman Bold Italic"/>
          <w:b/>
          <w:bCs/>
          <w:i/>
          <w:iCs/>
          <w:lang w:eastAsia="zh-CN"/>
        </w:rPr>
      </w:pPr>
    </w:p>
    <w:p w14:paraId="1D29B362">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eastAsia="zh-CN"/>
        </w:rPr>
        <w:t>5</w:t>
      </w:r>
      <w:r>
        <w:rPr>
          <w:rFonts w:ascii="Times New Roman Bold Italic" w:hAnsi="Times New Roman Bold Italic" w:cs="Times New Roman Bold Italic"/>
          <w:b/>
          <w:bCs/>
          <w:i/>
          <w:iCs/>
          <w:lang w:eastAsia="zh-CN"/>
        </w:rPr>
        <w:t xml:space="preserve">: Single metric like bit/J need to be complemented with other aspects, </w:t>
      </w:r>
      <w:r>
        <w:rPr>
          <w:rFonts w:hint="default" w:ascii="Times New Roman Bold Italic" w:hAnsi="Times New Roman Bold Italic" w:cs="Times New Roman Bold Italic"/>
          <w:b/>
          <w:bCs/>
          <w:i/>
          <w:iCs/>
          <w:lang w:val="en-US" w:eastAsia="zh-CN"/>
        </w:rPr>
        <w:t xml:space="preserve">and </w:t>
      </w:r>
      <w:r>
        <w:rPr>
          <w:rFonts w:ascii="Times New Roman Bold Italic" w:hAnsi="Times New Roman Bold Italic" w:cs="Times New Roman Bold Italic"/>
          <w:b/>
          <w:bCs/>
          <w:i/>
          <w:iCs/>
          <w:lang w:eastAsia="zh-CN"/>
        </w:rPr>
        <w:t>other potential parameters may be considered for 6G study like active data energy efficiency, idle power consumption, or wake-up/transition efficiency, U</w:t>
      </w:r>
      <w:r>
        <w:rPr>
          <w:rFonts w:hint="default" w:ascii="Times New Roman Bold Italic" w:hAnsi="Times New Roman Bold Italic" w:cs="Times New Roman Bold Italic"/>
          <w:b/>
          <w:bCs/>
          <w:i/>
          <w:iCs/>
          <w:lang w:val="en-US" w:eastAsia="zh-CN"/>
        </w:rPr>
        <w:t>PT</w:t>
      </w:r>
      <w:r>
        <w:rPr>
          <w:rFonts w:hint="eastAsia" w:ascii="Times New Roman Bold Italic" w:hAnsi="Times New Roman Bold Italic" w:cs="Times New Roman Bold Italic"/>
          <w:b/>
          <w:bCs/>
          <w:i/>
          <w:iCs/>
          <w:lang w:eastAsia="zh-CN"/>
        </w:rPr>
        <w:t>, U</w:t>
      </w:r>
      <w:r>
        <w:rPr>
          <w:rFonts w:ascii="Times New Roman Bold Italic" w:hAnsi="Times New Roman Bold Italic" w:cs="Times New Roman Bold Italic"/>
          <w:b/>
          <w:bCs/>
          <w:i/>
          <w:iCs/>
          <w:lang w:eastAsia="zh-CN"/>
        </w:rPr>
        <w:t xml:space="preserve">ser </w:t>
      </w:r>
      <w:r>
        <w:rPr>
          <w:rFonts w:hint="eastAsia" w:ascii="Times New Roman Bold Italic" w:hAnsi="Times New Roman Bold Italic" w:cs="Times New Roman Bold Italic"/>
          <w:b/>
          <w:bCs/>
          <w:i/>
          <w:iCs/>
          <w:lang w:eastAsia="zh-CN"/>
        </w:rPr>
        <w:t>E</w:t>
      </w:r>
      <w:r>
        <w:rPr>
          <w:rFonts w:ascii="Times New Roman Bold Italic" w:hAnsi="Times New Roman Bold Italic" w:cs="Times New Roman Bold Italic"/>
          <w:b/>
          <w:bCs/>
          <w:i/>
          <w:iCs/>
          <w:lang w:eastAsia="zh-CN"/>
        </w:rPr>
        <w:t xml:space="preserve">quipment </w:t>
      </w:r>
      <w:r>
        <w:rPr>
          <w:rFonts w:hint="eastAsia" w:ascii="Times New Roman Bold Italic" w:hAnsi="Times New Roman Bold Italic" w:cs="Times New Roman Bold Italic"/>
          <w:b/>
          <w:bCs/>
          <w:i/>
          <w:iCs/>
          <w:lang w:eastAsia="zh-CN"/>
        </w:rPr>
        <w:t>P</w:t>
      </w:r>
      <w:r>
        <w:rPr>
          <w:rFonts w:ascii="Times New Roman Bold Italic" w:hAnsi="Times New Roman Bold Italic" w:cs="Times New Roman Bold Italic"/>
          <w:b/>
          <w:bCs/>
          <w:i/>
          <w:iCs/>
          <w:lang w:eastAsia="zh-CN"/>
        </w:rPr>
        <w:t xml:space="preserve">ower </w:t>
      </w:r>
      <w:r>
        <w:rPr>
          <w:rFonts w:hint="eastAsia" w:ascii="Times New Roman Bold Italic" w:hAnsi="Times New Roman Bold Italic" w:cs="Times New Roman Bold Italic"/>
          <w:b/>
          <w:bCs/>
          <w:i/>
          <w:iCs/>
          <w:lang w:eastAsia="zh-CN"/>
        </w:rPr>
        <w:t>S</w:t>
      </w:r>
      <w:r>
        <w:rPr>
          <w:rFonts w:ascii="Times New Roman Bold Italic" w:hAnsi="Times New Roman Bold Italic" w:cs="Times New Roman Bold Italic"/>
          <w:b/>
          <w:bCs/>
          <w:i/>
          <w:iCs/>
          <w:lang w:eastAsia="zh-CN"/>
        </w:rPr>
        <w:t xml:space="preserve">aving </w:t>
      </w:r>
      <w:r>
        <w:rPr>
          <w:rFonts w:hint="eastAsia" w:ascii="Times New Roman Bold Italic" w:hAnsi="Times New Roman Bold Italic" w:cs="Times New Roman Bold Italic"/>
          <w:b/>
          <w:bCs/>
          <w:i/>
          <w:iCs/>
          <w:lang w:eastAsia="zh-CN"/>
        </w:rPr>
        <w:t>G</w:t>
      </w:r>
      <w:r>
        <w:rPr>
          <w:rFonts w:ascii="Times New Roman Bold Italic" w:hAnsi="Times New Roman Bold Italic" w:cs="Times New Roman Bold Italic"/>
          <w:b/>
          <w:bCs/>
          <w:i/>
          <w:iCs/>
          <w:lang w:eastAsia="zh-CN"/>
        </w:rPr>
        <w:t>ain</w:t>
      </w:r>
      <w:r>
        <w:rPr>
          <w:rFonts w:hint="eastAsia" w:ascii="Times New Roman Bold Italic" w:hAnsi="Times New Roman Bold Italic" w:cs="Times New Roman Bold Italic"/>
          <w:b/>
          <w:bCs/>
          <w:i/>
          <w:iCs/>
          <w:lang w:eastAsia="zh-CN"/>
        </w:rPr>
        <w:t>,</w:t>
      </w:r>
      <w:r>
        <w:rPr>
          <w:rFonts w:ascii="Times New Roman Bold Italic" w:hAnsi="Times New Roman Bold Italic" w:cs="Times New Roman Bold Italic"/>
          <w:b/>
          <w:bCs/>
          <w:i/>
          <w:iCs/>
          <w:lang w:eastAsia="zh-CN"/>
        </w:rPr>
        <w:t xml:space="preserve"> Computing Efficiency</w:t>
      </w:r>
      <w:r>
        <w:rPr>
          <w:rFonts w:hint="eastAsia" w:ascii="Times New Roman Bold Italic" w:hAnsi="Times New Roman Bold Italic" w:cs="Times New Roman Bold Italic"/>
          <w:b/>
          <w:bCs/>
          <w:i/>
          <w:iCs/>
          <w:lang w:eastAsia="zh-CN"/>
        </w:rPr>
        <w:t xml:space="preserve"> and Latency</w:t>
      </w:r>
      <w:r>
        <w:rPr>
          <w:rFonts w:ascii="Times New Roman Bold Italic" w:hAnsi="Times New Roman Bold Italic" w:cs="Times New Roman Bold Italic"/>
          <w:b/>
          <w:bCs/>
          <w:i/>
          <w:iCs/>
          <w:lang w:eastAsia="zh-CN"/>
        </w:rPr>
        <w:t xml:space="preserve"> etc.</w:t>
      </w:r>
    </w:p>
    <w:p w14:paraId="028477D6">
      <w:pPr>
        <w:rPr>
          <w:rFonts w:ascii="Times New Roman Bold Italic" w:hAnsi="Times New Roman Bold Italic" w:cs="Times New Roman Bold Italic"/>
          <w:b/>
          <w:bCs/>
          <w:i/>
          <w:iCs/>
          <w:lang w:eastAsia="zh-CN"/>
        </w:rPr>
      </w:pPr>
    </w:p>
    <w:p w14:paraId="0BED0BE5">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eastAsia="zh-CN"/>
        </w:rPr>
        <w:t>6</w:t>
      </w:r>
      <w:r>
        <w:rPr>
          <w:rFonts w:ascii="Times New Roman Bold Italic" w:hAnsi="Times New Roman Bold Italic" w:cs="Times New Roman Bold Italic"/>
          <w:b/>
          <w:bCs/>
          <w:i/>
          <w:iCs/>
          <w:lang w:eastAsia="zh-CN"/>
        </w:rPr>
        <w:t>: 6G might also consider the end-to-end energy efficiency of the communication system. However, end-to-end metrics are harder to allocate and implement since operators and users manage different portions of the power budget, and business models are separate.</w:t>
      </w:r>
    </w:p>
    <w:p w14:paraId="646E55A3">
      <w:pPr>
        <w:rPr>
          <w:rFonts w:ascii="Times New Roman Bold Italic" w:hAnsi="Times New Roman Bold Italic" w:cs="Times New Roman Bold Italic"/>
          <w:b/>
          <w:bCs/>
          <w:i/>
          <w:iCs/>
          <w:lang w:eastAsia="zh-CN"/>
        </w:rPr>
      </w:pPr>
    </w:p>
    <w:p w14:paraId="070FD696">
      <w:pPr>
        <w:pStyle w:val="5"/>
        <w:rPr>
          <w:rFonts w:hint="default" w:ascii="Times New Roman Bold Italic" w:hAnsi="Times New Roman Bold Italic" w:eastAsia="宋体" w:cs="Times New Roman Bold Italic"/>
          <w:b/>
          <w:bCs/>
          <w:i/>
          <w:iCs/>
          <w:sz w:val="22"/>
          <w:szCs w:val="22"/>
          <w:lang w:val="en-US" w:eastAsia="zh-CN"/>
        </w:rPr>
      </w:pPr>
      <w:r>
        <w:rPr>
          <w:rFonts w:ascii="Times New Roman Bold Italic" w:hAnsi="Times New Roman Bold Italic" w:cs="Times New Roman Bold Italic"/>
          <w:b/>
          <w:bCs/>
          <w:i/>
          <w:iCs/>
          <w:sz w:val="22"/>
          <w:szCs w:val="22"/>
          <w:lang w:eastAsia="zh-CN"/>
        </w:rPr>
        <w:t xml:space="preserve">Observation </w:t>
      </w:r>
      <w:r>
        <w:rPr>
          <w:rFonts w:hint="eastAsia" w:ascii="Times New Roman Bold Italic" w:hAnsi="Times New Roman Bold Italic" w:cs="Times New Roman Bold Italic"/>
          <w:b/>
          <w:bCs/>
          <w:i/>
          <w:iCs/>
          <w:sz w:val="22"/>
          <w:szCs w:val="22"/>
          <w:lang w:eastAsia="zh-CN"/>
        </w:rPr>
        <w:t>7</w:t>
      </w:r>
      <w:r>
        <w:rPr>
          <w:rFonts w:ascii="Times New Roman Bold Italic" w:hAnsi="Times New Roman Bold Italic" w:cs="Times New Roman Bold Italic"/>
          <w:b/>
          <w:bCs/>
          <w:i/>
          <w:iCs/>
          <w:sz w:val="22"/>
          <w:szCs w:val="22"/>
          <w:lang w:eastAsia="zh-CN"/>
        </w:rPr>
        <w:t xml:space="preserve">: </w:t>
      </w:r>
      <w:r>
        <w:rPr>
          <w:rFonts w:hint="default" w:ascii="Times New Roman Bold Italic" w:hAnsi="Times New Roman Bold Italic" w:cs="Times New Roman Bold Italic"/>
          <w:b/>
          <w:bCs/>
          <w:i/>
          <w:iCs/>
          <w:sz w:val="22"/>
          <w:szCs w:val="22"/>
          <w:lang w:val="en-US" w:eastAsia="zh-CN"/>
        </w:rPr>
        <w:t xml:space="preserve">Other metrics related energy efficiency could be used for evaluation, like </w:t>
      </w:r>
      <w:r>
        <w:rPr>
          <w:rFonts w:hint="default" w:ascii="Times New Roman Bold Italic" w:hAnsi="Times New Roman Bold Italic" w:eastAsia="宋体" w:cs="Times New Roman Bold Italic"/>
          <w:b/>
          <w:bCs/>
          <w:i/>
          <w:iCs/>
          <w:sz w:val="22"/>
          <w:szCs w:val="22"/>
          <w:lang w:val="en-US" w:eastAsia="zh-CN"/>
        </w:rPr>
        <w:t>peak energy efficiency ratio, latency energy ratio, coverage energy ratio, idle power ratio and energy power density.</w:t>
      </w:r>
    </w:p>
    <w:p w14:paraId="3E98EBFF">
      <w:pPr>
        <w:rPr>
          <w:rFonts w:ascii="Times New Roman Bold Italic" w:hAnsi="Times New Roman Bold Italic" w:cs="Times New Roman Bold Italic"/>
          <w:b/>
          <w:bCs/>
          <w:i/>
          <w:iCs/>
          <w:lang w:eastAsia="zh-CN"/>
        </w:rPr>
      </w:pPr>
    </w:p>
    <w:p w14:paraId="5C6337A4">
      <w:pPr>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Proposal 2:</w:t>
      </w:r>
      <w:r>
        <w:rPr>
          <w:rFonts w:hint="default" w:ascii="Times New Roman Bold Italic" w:hAnsi="Times New Roman Bold Italic" w:eastAsia="宋体" w:cs="Times New Roman Bold Italic"/>
          <w:b/>
          <w:bCs/>
          <w:i/>
          <w:iCs/>
          <w:lang w:val="en-US" w:eastAsia="zh-CN"/>
        </w:rPr>
        <w:t xml:space="preserve"> </w:t>
      </w:r>
      <w:r>
        <w:rPr>
          <w:rFonts w:ascii="Times New Roman Bold Italic" w:hAnsi="Times New Roman Bold Italic" w:eastAsia="宋体" w:cs="Times New Roman Bold Italic"/>
          <w:b/>
          <w:bCs/>
          <w:i/>
          <w:iCs/>
          <w:lang w:val="en-US" w:eastAsia="zh-TW"/>
        </w:rPr>
        <w:t>Additional complementary metrics for 6G use cases</w:t>
      </w:r>
      <w:r>
        <w:rPr>
          <w:rFonts w:hint="default" w:ascii="Times New Roman Bold Italic" w:hAnsi="Times New Roman Bold Italic" w:eastAsia="宋体" w:cs="Times New Roman Bold Italic"/>
          <w:b/>
          <w:bCs/>
          <w:i/>
          <w:iCs/>
          <w:lang w:val="en-US" w:eastAsia="zh-TW"/>
        </w:rPr>
        <w:t xml:space="preserve"> could be considered, e.g., computing efficiency, </w:t>
      </w:r>
      <w:r>
        <w:rPr>
          <w:rFonts w:hint="default" w:ascii="Times New Roman Bold Italic" w:hAnsi="Times New Roman Bold Italic" w:cs="Times New Roman Bold Italic"/>
          <w:b/>
          <w:bCs/>
          <w:i/>
          <w:iCs/>
          <w:lang w:val="en-US" w:eastAsia="zh-CN"/>
        </w:rPr>
        <w:t>w</w:t>
      </w:r>
      <w:r>
        <w:rPr>
          <w:rFonts w:hint="default" w:ascii="Times New Roman Bold Italic" w:hAnsi="Times New Roman Bold Italic" w:cs="Times New Roman Bold Italic"/>
          <w:b/>
          <w:bCs/>
          <w:i/>
          <w:iCs/>
          <w:lang w:eastAsia="zh-CN"/>
        </w:rPr>
        <w:t>ake-up/</w:t>
      </w:r>
      <w:r>
        <w:rPr>
          <w:rFonts w:hint="default" w:ascii="Times New Roman Bold Italic" w:hAnsi="Times New Roman Bold Italic" w:cs="Times New Roman Bold Italic"/>
          <w:b/>
          <w:bCs/>
          <w:i/>
          <w:iCs/>
          <w:lang w:val="en-US" w:eastAsia="zh-CN"/>
        </w:rPr>
        <w:t>t</w:t>
      </w:r>
      <w:r>
        <w:rPr>
          <w:rFonts w:hint="default" w:ascii="Times New Roman Bold Italic" w:hAnsi="Times New Roman Bold Italic" w:cs="Times New Roman Bold Italic"/>
          <w:b/>
          <w:bCs/>
          <w:i/>
          <w:iCs/>
          <w:lang w:eastAsia="zh-CN"/>
        </w:rPr>
        <w:t xml:space="preserve">ransition </w:t>
      </w:r>
      <w:r>
        <w:rPr>
          <w:rFonts w:hint="default" w:ascii="Times New Roman Bold Italic" w:hAnsi="Times New Roman Bold Italic" w:cs="Times New Roman Bold Italic"/>
          <w:b/>
          <w:bCs/>
          <w:i/>
          <w:iCs/>
          <w:lang w:val="en-US" w:eastAsia="zh-CN"/>
        </w:rPr>
        <w:t>e</w:t>
      </w:r>
      <w:r>
        <w:rPr>
          <w:rFonts w:hint="default" w:ascii="Times New Roman Bold Italic" w:hAnsi="Times New Roman Bold Italic" w:cs="Times New Roman Bold Italic"/>
          <w:b/>
          <w:bCs/>
          <w:i/>
          <w:iCs/>
          <w:lang w:eastAsia="zh-CN"/>
        </w:rPr>
        <w:t>fficiency</w:t>
      </w:r>
      <w:r>
        <w:rPr>
          <w:rFonts w:hint="default" w:ascii="Times New Roman Bold Italic" w:hAnsi="Times New Roman Bold Italic" w:cs="Times New Roman Bold Italic"/>
          <w:b/>
          <w:bCs/>
          <w:i/>
          <w:iCs/>
          <w:lang w:val="en-US" w:eastAsia="zh-CN"/>
        </w:rPr>
        <w:t>, etc.</w:t>
      </w:r>
    </w:p>
    <w:p w14:paraId="1A0F67F0">
      <w:pPr>
        <w:rPr>
          <w:rFonts w:hint="default" w:ascii="Times New Roman Bold Italic" w:hAnsi="Times New Roman Bold Italic" w:cs="Times New Roman Bold Italic"/>
          <w:b/>
          <w:bCs/>
          <w:i/>
          <w:iCs/>
          <w:lang w:val="en-US" w:eastAsia="zh-CN"/>
        </w:rPr>
      </w:pPr>
    </w:p>
    <w:p w14:paraId="5E80896B">
      <w:pPr>
        <w:rPr>
          <w:rFonts w:hint="default" w:ascii="Times New Roman Bold Italic" w:hAnsi="Times New Roman Bold Italic" w:cs="Times New Roman Bold Italic"/>
          <w:b/>
          <w:bCs/>
          <w:i/>
          <w:iCs/>
          <w:lang w:val="en-US" w:eastAsia="zh-CN"/>
        </w:rPr>
      </w:pPr>
      <w:r>
        <w:rPr>
          <w:rFonts w:ascii="Times New Roman Bold Italic" w:hAnsi="Times New Roman Bold Italic" w:cs="Times New Roman Bold Italic"/>
          <w:b/>
          <w:bCs/>
          <w:i/>
          <w:iCs/>
          <w:lang w:eastAsia="zh-CN"/>
        </w:rPr>
        <w:t xml:space="preserve">Proposal </w:t>
      </w:r>
      <w:r>
        <w:rPr>
          <w:rFonts w:hint="default" w:ascii="Times New Roman Bold Italic" w:hAnsi="Times New Roman Bold Italic" w:cs="Times New Roman Bold Italic"/>
          <w:b/>
          <w:bCs/>
          <w:i/>
          <w:iCs/>
          <w:lang w:val="en-US" w:eastAsia="zh-CN"/>
        </w:rPr>
        <w:t>3</w:t>
      </w:r>
      <w:r>
        <w:rPr>
          <w:rFonts w:ascii="Times New Roman Bold Italic" w:hAnsi="Times New Roman Bold Italic" w:cs="Times New Roman Bold Italic"/>
          <w:b/>
          <w:bCs/>
          <w:i/>
          <w:iCs/>
          <w:lang w:eastAsia="zh-CN"/>
        </w:rPr>
        <w:t xml:space="preserve">: </w:t>
      </w:r>
      <w:r>
        <w:rPr>
          <w:rFonts w:hint="default" w:ascii="Times New Roman Bold Italic" w:hAnsi="Times New Roman Bold Italic" w:cs="Times New Roman Bold Italic"/>
          <w:b/>
          <w:bCs/>
          <w:i/>
          <w:iCs/>
          <w:lang w:val="en-US" w:eastAsia="zh-CN"/>
        </w:rPr>
        <w:t xml:space="preserve">Support following method </w:t>
      </w:r>
      <w:r>
        <w:rPr>
          <w:rFonts w:hint="default" w:ascii="Times New Roman Bold Italic" w:hAnsi="Times New Roman Bold Italic" w:eastAsia="PMingLiU" w:cs="Times New Roman Bold Italic"/>
          <w:b/>
          <w:bCs/>
          <w:i/>
          <w:iCs/>
          <w:lang w:val="en-US" w:eastAsia="zh-TW"/>
        </w:rPr>
        <w:t>for joint NW-UE energy efficiency evaluation:</w:t>
      </w:r>
    </w:p>
    <w:p w14:paraId="0BE3CD2A">
      <w:pPr>
        <w:numPr>
          <w:ilvl w:val="0"/>
          <w:numId w:val="14"/>
        </w:numPr>
        <w:rPr>
          <w:rFonts w:eastAsia="PMingLiU"/>
          <w:b/>
          <w:bCs/>
          <w:lang w:val="en-US" w:eastAsia="zh-TW"/>
        </w:rPr>
      </w:pPr>
      <w:r>
        <w:rPr>
          <w:rFonts w:eastAsia="PMingLiU"/>
          <w:b/>
          <w:bCs/>
          <w:lang w:val="en-US" w:eastAsia="zh-TW"/>
        </w:rPr>
        <w:t xml:space="preserve">Option 2 (Geometric mean): </w:t>
      </w:r>
      <m:oMath>
        <m:r>
          <m:rPr/>
          <w:rPr>
            <w:rFonts w:ascii="Cambria Math" w:hAnsi="Cambria Math"/>
            <w:lang w:eastAsia="zh-CN"/>
          </w:rPr>
          <m:t>E</m:t>
        </m:r>
        <m:sSub>
          <m:sSubPr>
            <m:ctrlPr>
              <w:rPr>
                <w:rFonts w:ascii="Cambria Math" w:hAnsi="Cambria Math"/>
                <w:lang w:eastAsia="zh-CN"/>
              </w:rPr>
            </m:ctrlPr>
          </m:sSubPr>
          <m:e>
            <m:r>
              <m:rPr/>
              <w:rPr>
                <w:rFonts w:ascii="Cambria Math" w:hAnsi="Cambria Math"/>
                <w:lang w:eastAsia="zh-CN"/>
              </w:rPr>
              <m:t>E</m:t>
            </m:r>
            <m:ctrlPr>
              <w:rPr>
                <w:rFonts w:ascii="Cambria Math" w:hAnsi="Cambria Math"/>
                <w:lang w:eastAsia="zh-CN"/>
              </w:rPr>
            </m:ctrlPr>
          </m:e>
          <m:sub>
            <m:r>
              <m:rPr>
                <m:nor/>
                <m:sty m:val="p"/>
              </m:rPr>
              <w:rPr>
                <w:b w:val="0"/>
                <w:i w:val="0"/>
                <w:lang w:eastAsia="zh-CN"/>
              </w:rPr>
              <m:t>Joint</m:t>
            </m:r>
            <m:ctrlPr>
              <w:rPr>
                <w:rFonts w:ascii="Cambria Math" w:hAnsi="Cambria Math"/>
                <w:lang w:eastAsia="zh-CN"/>
              </w:rPr>
            </m:ctrlPr>
          </m:sub>
        </m:sSub>
        <m:r>
          <m:rPr/>
          <w:rPr>
            <w:rFonts w:ascii="Cambria Math" w:hAnsi="Cambria Math"/>
            <w:lang w:eastAsia="zh-CN"/>
          </w:rPr>
          <m:t>=</m:t>
        </m:r>
        <m:sSup>
          <m:sSupPr>
            <m:ctrlPr>
              <w:rPr>
                <w:rFonts w:ascii="Cambria Math" w:hAnsi="Cambria Math"/>
                <w:lang w:eastAsia="zh-CN"/>
              </w:rPr>
            </m:ctrlPr>
          </m:sSupPr>
          <m:e>
            <m:r>
              <m:rPr/>
              <w:rPr>
                <w:rFonts w:ascii="Cambria Math" w:hAnsi="Cambria Math"/>
                <w:lang w:eastAsia="zh-CN"/>
              </w:rPr>
              <m:t>(E</m:t>
            </m:r>
            <m:sSubSup>
              <m:sSubSupPr>
                <m:ctrlPr>
                  <w:rPr>
                    <w:rFonts w:ascii="Cambria Math" w:hAnsi="Cambria Math"/>
                    <w:lang w:eastAsia="zh-CN"/>
                  </w:rPr>
                </m:ctrlPr>
              </m:sSubSupPr>
              <m:e>
                <m:r>
                  <m:rPr/>
                  <w:rPr>
                    <w:rFonts w:ascii="Cambria Math" w:hAnsi="Cambria Math"/>
                    <w:lang w:eastAsia="zh-CN"/>
                  </w:rPr>
                  <m:t>E</m:t>
                </m:r>
                <m:ctrlPr>
                  <w:rPr>
                    <w:rFonts w:ascii="Cambria Math" w:hAnsi="Cambria Math"/>
                    <w:lang w:eastAsia="zh-CN"/>
                  </w:rPr>
                </m:ctrlPr>
              </m:e>
              <m:sub>
                <m:r>
                  <m:rPr>
                    <m:nor/>
                    <m:sty m:val="p"/>
                  </m:rPr>
                  <w:rPr>
                    <w:b w:val="0"/>
                    <w:i w:val="0"/>
                    <w:lang w:eastAsia="zh-CN"/>
                  </w:rPr>
                  <m:t>NW</m:t>
                </m:r>
                <m:ctrlPr>
                  <w:rPr>
                    <w:rFonts w:ascii="Cambria Math" w:hAnsi="Cambria Math"/>
                    <w:lang w:eastAsia="zh-CN"/>
                  </w:rPr>
                </m:ctrlPr>
              </m:sub>
              <m:sup>
                <m:r>
                  <m:rPr/>
                  <w:rPr>
                    <w:rFonts w:ascii="Cambria Math" w:hAnsi="Cambria Math"/>
                    <w:lang w:eastAsia="zh-CN"/>
                  </w:rPr>
                  <m:t>α</m:t>
                </m:r>
                <m:ctrlPr>
                  <w:rPr>
                    <w:rFonts w:ascii="Cambria Math" w:hAnsi="Cambria Math"/>
                    <w:lang w:eastAsia="zh-CN"/>
                  </w:rPr>
                </m:ctrlPr>
              </m:sup>
            </m:sSubSup>
            <m:r>
              <m:rPr/>
              <w:rPr>
                <w:rFonts w:ascii="Cambria Math" w:hAnsi="Cambria Math"/>
                <w:lang w:eastAsia="zh-CN"/>
              </w:rPr>
              <m:t>⋅E</m:t>
            </m:r>
            <m:sSubSup>
              <m:sSubSupPr>
                <m:ctrlPr>
                  <w:rPr>
                    <w:rFonts w:ascii="Cambria Math" w:hAnsi="Cambria Math"/>
                    <w:lang w:eastAsia="zh-CN"/>
                  </w:rPr>
                </m:ctrlPr>
              </m:sSubSupPr>
              <m:e>
                <m:r>
                  <m:rPr/>
                  <w:rPr>
                    <w:rFonts w:ascii="Cambria Math" w:hAnsi="Cambria Math"/>
                    <w:lang w:eastAsia="zh-CN"/>
                  </w:rPr>
                  <m:t>E</m:t>
                </m:r>
                <m:ctrlPr>
                  <w:rPr>
                    <w:rFonts w:ascii="Cambria Math" w:hAnsi="Cambria Math"/>
                    <w:lang w:eastAsia="zh-CN"/>
                  </w:rPr>
                </m:ctrlPr>
              </m:e>
              <m:sub>
                <m:r>
                  <m:rPr>
                    <m:nor/>
                    <m:sty m:val="p"/>
                  </m:rPr>
                  <w:rPr>
                    <w:b w:val="0"/>
                    <w:i w:val="0"/>
                    <w:lang w:eastAsia="zh-CN"/>
                  </w:rPr>
                  <m:t>UE</m:t>
                </m:r>
                <m:ctrlPr>
                  <w:rPr>
                    <w:rFonts w:ascii="Cambria Math" w:hAnsi="Cambria Math"/>
                    <w:lang w:eastAsia="zh-CN"/>
                  </w:rPr>
                </m:ctrlPr>
              </m:sub>
              <m:sup>
                <m:r>
                  <m:rPr/>
                  <w:rPr>
                    <w:rFonts w:ascii="Cambria Math" w:hAnsi="Cambria Math"/>
                    <w:lang w:eastAsia="zh-CN"/>
                  </w:rPr>
                  <m:t>β</m:t>
                </m:r>
                <m:ctrlPr>
                  <w:rPr>
                    <w:rFonts w:ascii="Cambria Math" w:hAnsi="Cambria Math"/>
                    <w:lang w:eastAsia="zh-CN"/>
                  </w:rPr>
                </m:ctrlPr>
              </m:sup>
            </m:sSubSup>
            <m:r>
              <m:rPr/>
              <w:rPr>
                <w:rFonts w:ascii="Cambria Math" w:hAnsi="Cambria Math"/>
                <w:lang w:eastAsia="zh-CN"/>
              </w:rPr>
              <m:t>)</m:t>
            </m:r>
            <m:ctrlPr>
              <w:rPr>
                <w:rFonts w:ascii="Cambria Math" w:hAnsi="Cambria Math"/>
                <w:lang w:eastAsia="zh-CN"/>
              </w:rPr>
            </m:ctrlPr>
          </m:e>
          <m:sup>
            <m:f>
              <m:fPr>
                <m:ctrlPr>
                  <w:rPr>
                    <w:rFonts w:ascii="Cambria Math" w:hAnsi="Cambria Math"/>
                    <w:lang w:eastAsia="zh-CN"/>
                  </w:rPr>
                </m:ctrlPr>
              </m:fPr>
              <m:num>
                <m:r>
                  <m:rPr/>
                  <w:rPr>
                    <w:rFonts w:ascii="Cambria Math" w:hAnsi="Cambria Math"/>
                    <w:lang w:eastAsia="zh-CN"/>
                  </w:rPr>
                  <m:t>1</m:t>
                </m:r>
                <m:ctrlPr>
                  <w:rPr>
                    <w:rFonts w:ascii="Cambria Math" w:hAnsi="Cambria Math"/>
                    <w:lang w:eastAsia="zh-CN"/>
                  </w:rPr>
                </m:ctrlPr>
              </m:num>
              <m:den>
                <m:r>
                  <m:rPr/>
                  <w:rPr>
                    <w:rFonts w:ascii="Cambria Math" w:hAnsi="Cambria Math"/>
                    <w:lang w:eastAsia="zh-CN"/>
                  </w:rPr>
                  <m:t>α+β</m:t>
                </m:r>
                <m:ctrlPr>
                  <w:rPr>
                    <w:rFonts w:ascii="Cambria Math" w:hAnsi="Cambria Math"/>
                    <w:lang w:eastAsia="zh-CN"/>
                  </w:rPr>
                </m:ctrlPr>
              </m:den>
            </m:f>
            <m:ctrlPr>
              <w:rPr>
                <w:rFonts w:ascii="Cambria Math" w:hAnsi="Cambria Math"/>
                <w:lang w:eastAsia="zh-CN"/>
              </w:rPr>
            </m:ctrlPr>
          </m:sup>
        </m:sSup>
      </m:oMath>
      <w:r>
        <w:rPr>
          <w:rFonts w:eastAsia="PMingLiU"/>
          <w:b/>
          <w:bCs/>
          <w:lang w:val="en-US" w:eastAsia="zh-TW"/>
        </w:rPr>
        <w:t>with α+β=2</w:t>
      </w:r>
    </w:p>
    <w:p w14:paraId="79CBFAAC">
      <w:pPr>
        <w:numPr>
          <w:ilvl w:val="0"/>
          <w:numId w:val="15"/>
        </w:numPr>
        <w:ind w:left="1260" w:leftChars="0" w:hanging="420" w:firstLineChars="0"/>
        <w:rPr>
          <w:rFonts w:ascii="Times New Roman Bold Italic" w:hAnsi="Times New Roman Bold Italic" w:cs="Times New Roman Bold Italic"/>
          <w:b/>
          <w:bCs/>
          <w:i/>
          <w:iCs/>
          <w:lang w:eastAsia="zh-CN"/>
        </w:rPr>
      </w:pPr>
      <w:r>
        <w:rPr>
          <w:rFonts w:eastAsia="PMingLiU"/>
          <w:b/>
          <w:bCs/>
          <w:lang w:val="en-US" w:eastAsia="zh-TW"/>
        </w:rPr>
        <w:t>Rationale: Balanced improvement on both sides; prevents one-sided optimization; study schemes with (α,β)=(1,1) for equal weighting</w:t>
      </w:r>
    </w:p>
    <w:p w14:paraId="1F696430">
      <w:pPr>
        <w:numPr>
          <w:ilvl w:val="0"/>
          <w:numId w:val="0"/>
        </w:numPr>
        <w:ind w:left="840" w:leftChars="0"/>
        <w:rPr>
          <w:rFonts w:ascii="Times New Roman Bold Italic" w:hAnsi="Times New Roman Bold Italic" w:cs="Times New Roman Bold Italic"/>
          <w:b/>
          <w:bCs/>
          <w:i/>
          <w:iCs/>
          <w:lang w:eastAsia="zh-CN"/>
        </w:rPr>
      </w:pPr>
    </w:p>
    <w:p w14:paraId="7C4B1FC6">
      <w:pPr>
        <w:pStyle w:val="5"/>
        <w:rPr>
          <w:rFonts w:hint="default" w:ascii="Times New Roman Bold Italic" w:hAnsi="Times New Roman Bold Italic" w:eastAsia="PMingLiU" w:cs="Times New Roman Bold Italic"/>
          <w:b/>
          <w:bCs/>
          <w:i/>
          <w:iCs/>
          <w:lang w:val="en-US" w:eastAsia="zh-TW"/>
        </w:rPr>
      </w:pPr>
      <w:r>
        <w:rPr>
          <w:rFonts w:ascii="Times New Roman Bold Italic" w:hAnsi="Times New Roman Bold Italic" w:cs="Times New Roman Bold Italic"/>
          <w:b/>
          <w:bCs/>
          <w:i/>
          <w:iCs/>
          <w:sz w:val="22"/>
          <w:szCs w:val="22"/>
          <w:lang w:eastAsia="zh-CN"/>
        </w:rPr>
        <w:t>Proposal</w:t>
      </w:r>
      <w:r>
        <w:rPr>
          <w:rFonts w:hint="eastAsia" w:ascii="Times New Roman Bold Italic" w:hAnsi="Times New Roman Bold Italic" w:cs="Times New Roman Bold Italic"/>
          <w:b/>
          <w:bCs/>
          <w:i/>
          <w:iCs/>
          <w:sz w:val="22"/>
          <w:szCs w:val="22"/>
          <w:lang w:eastAsia="zh-CN"/>
        </w:rPr>
        <w:t xml:space="preserve"> </w:t>
      </w:r>
      <w:r>
        <w:rPr>
          <w:rFonts w:hint="default" w:ascii="Times New Roman Bold Italic" w:hAnsi="Times New Roman Bold Italic" w:cs="Times New Roman Bold Italic"/>
          <w:b/>
          <w:bCs/>
          <w:i/>
          <w:iCs/>
          <w:sz w:val="22"/>
          <w:szCs w:val="22"/>
          <w:lang w:val="en-US" w:eastAsia="zh-CN"/>
        </w:rPr>
        <w:t>4</w:t>
      </w:r>
      <w:r>
        <w:rPr>
          <w:rFonts w:ascii="Times New Roman Bold Italic" w:hAnsi="Times New Roman Bold Italic" w:cs="Times New Roman Bold Italic"/>
          <w:b/>
          <w:bCs/>
          <w:i/>
          <w:iCs/>
          <w:sz w:val="22"/>
          <w:szCs w:val="22"/>
          <w:lang w:eastAsia="zh-CN"/>
        </w:rPr>
        <w:t xml:space="preserve">: </w:t>
      </w:r>
      <w:r>
        <w:rPr>
          <w:rFonts w:hint="default" w:ascii="Times New Roman Bold Italic" w:hAnsi="Times New Roman Bold Italic" w:cs="Times New Roman Bold Italic"/>
          <w:b/>
          <w:bCs/>
          <w:i/>
          <w:iCs/>
          <w:sz w:val="22"/>
          <w:szCs w:val="22"/>
          <w:lang w:val="en-US" w:eastAsia="zh-CN"/>
        </w:rPr>
        <w:t xml:space="preserve">For 6G </w:t>
      </w:r>
      <w:r>
        <w:rPr>
          <w:rFonts w:hint="default" w:ascii="Times New Roman Bold Italic" w:hAnsi="Times New Roman Bold Italic" w:eastAsia="PMingLiU" w:cs="Times New Roman Bold Italic"/>
          <w:b/>
          <w:bCs/>
          <w:i/>
          <w:iCs/>
          <w:lang w:val="en-US" w:eastAsia="zh-TW"/>
        </w:rPr>
        <w:t>energy efficiency evaluation, at least the following load cases are evaluated:</w:t>
      </w:r>
    </w:p>
    <w:p w14:paraId="0C1D28DE">
      <w:pPr>
        <w:pStyle w:val="5"/>
        <w:numPr>
          <w:ilvl w:val="0"/>
          <w:numId w:val="17"/>
        </w:numPr>
        <w:ind w:left="420" w:leftChars="0" w:hanging="420" w:firstLineChars="0"/>
        <w:rPr>
          <w:rFonts w:hint="default" w:ascii="Times New Roman Bold Italic" w:hAnsi="Times New Roman Bold Italic" w:eastAsia="PMingLiU" w:cs="Times New Roman Bold Italic"/>
          <w:b/>
          <w:bCs/>
          <w:i/>
          <w:iCs/>
          <w:lang w:val="en-US" w:eastAsia="zh-TW"/>
        </w:rPr>
      </w:pPr>
      <w:r>
        <w:rPr>
          <w:rFonts w:hint="default" w:ascii="Times New Roman Bold Italic" w:hAnsi="Times New Roman Bold Italic" w:cs="Times New Roman Bold Italic"/>
          <w:b/>
          <w:bCs/>
          <w:i/>
          <w:iCs/>
          <w:lang w:eastAsia="zh-CN"/>
        </w:rPr>
        <w:t>Empty / Idle Load (L = 0)</w:t>
      </w:r>
    </w:p>
    <w:p w14:paraId="7901951A">
      <w:pPr>
        <w:pStyle w:val="5"/>
        <w:numPr>
          <w:ilvl w:val="0"/>
          <w:numId w:val="17"/>
        </w:numPr>
        <w:ind w:left="420" w:leftChars="0" w:hanging="420" w:firstLineChars="0"/>
        <w:rPr>
          <w:rFonts w:hint="default" w:ascii="Times New Roman Bold Italic" w:hAnsi="Times New Roman Bold Italic" w:eastAsia="PMingLiU" w:cs="Times New Roman Bold Italic"/>
          <w:b/>
          <w:bCs/>
          <w:i/>
          <w:iCs/>
          <w:lang w:val="en-US" w:eastAsia="zh-TW"/>
        </w:rPr>
      </w:pPr>
      <w:r>
        <w:rPr>
          <w:rFonts w:hint="default" w:ascii="Times New Roman Bold Italic" w:hAnsi="Times New Roman Bold Italic" w:cs="Times New Roman Bold Italic"/>
          <w:b/>
          <w:bCs/>
          <w:i/>
          <w:iCs/>
          <w:lang w:eastAsia="zh-CN"/>
        </w:rPr>
        <w:t>Low Load (0 &lt; L ≤ 10%)</w:t>
      </w:r>
    </w:p>
    <w:p w14:paraId="46D6C4D1">
      <w:pPr>
        <w:pStyle w:val="5"/>
        <w:numPr>
          <w:ilvl w:val="0"/>
          <w:numId w:val="17"/>
        </w:numPr>
        <w:ind w:left="420" w:leftChars="0" w:hanging="420" w:firstLineChars="0"/>
        <w:rPr>
          <w:rFonts w:hint="default" w:ascii="Times New Roman Bold Italic" w:hAnsi="Times New Roman Bold Italic" w:eastAsia="PMingLiU" w:cs="Times New Roman Bold Italic"/>
          <w:b/>
          <w:bCs/>
          <w:i/>
          <w:iCs/>
          <w:lang w:val="en-US" w:eastAsia="zh-TW"/>
        </w:rPr>
      </w:pPr>
      <w:r>
        <w:rPr>
          <w:rFonts w:hint="default" w:ascii="Times New Roman Bold Italic" w:hAnsi="Times New Roman Bold Italic" w:cs="Times New Roman Bold Italic"/>
          <w:b/>
          <w:bCs/>
          <w:i/>
          <w:iCs/>
          <w:lang w:eastAsia="zh-CN"/>
        </w:rPr>
        <w:t>Light Load (10% &lt; L ≤ 30%)</w:t>
      </w:r>
    </w:p>
    <w:p w14:paraId="1B28DF46">
      <w:pPr>
        <w:pStyle w:val="5"/>
        <w:numPr>
          <w:ilvl w:val="0"/>
          <w:numId w:val="17"/>
        </w:numPr>
        <w:ind w:left="420" w:leftChars="0" w:hanging="420" w:firstLineChars="0"/>
        <w:rPr>
          <w:rFonts w:hint="default" w:ascii="Times New Roman Bold Italic" w:hAnsi="Times New Roman Bold Italic" w:eastAsia="PMingLiU" w:cs="Times New Roman Bold Italic"/>
          <w:b/>
          <w:bCs/>
          <w:i/>
          <w:iCs/>
          <w:lang w:val="en-US" w:eastAsia="zh-TW"/>
        </w:rPr>
      </w:pPr>
      <w:r>
        <w:rPr>
          <w:rFonts w:hint="default" w:ascii="Times New Roman Bold Italic" w:hAnsi="Times New Roman Bold Italic" w:cs="Times New Roman Bold Italic"/>
          <w:b/>
          <w:bCs/>
          <w:i/>
          <w:iCs/>
          <w:lang w:eastAsia="zh-CN"/>
        </w:rPr>
        <w:t>Medium Load (30% &lt; L ≤ 50%)</w:t>
      </w:r>
    </w:p>
    <w:p w14:paraId="0E276ED1">
      <w:pPr>
        <w:pStyle w:val="5"/>
        <w:numPr>
          <w:ilvl w:val="0"/>
          <w:numId w:val="17"/>
        </w:numPr>
        <w:ind w:left="420" w:leftChars="0" w:hanging="420" w:firstLineChars="0"/>
        <w:rPr>
          <w:rFonts w:hint="default" w:eastAsia="PMingLiU"/>
          <w:b/>
          <w:bCs/>
          <w:lang w:val="en-US" w:eastAsia="zh-CN"/>
        </w:rPr>
      </w:pPr>
      <w:r>
        <w:rPr>
          <w:rFonts w:hint="default" w:ascii="Times New Roman Bold Italic" w:hAnsi="Times New Roman Bold Italic" w:cs="Times New Roman Bold Italic"/>
          <w:b/>
          <w:bCs/>
          <w:i/>
          <w:iCs/>
          <w:lang w:eastAsia="zh-CN"/>
        </w:rPr>
        <w:t>High Load (L &gt; 50%)</w:t>
      </w:r>
    </w:p>
    <w:p w14:paraId="0F1F8F79">
      <w:pPr>
        <w:pStyle w:val="5"/>
        <w:rPr>
          <w:rFonts w:hint="default" w:ascii="Times New Roman Bold Italic" w:hAnsi="Times New Roman Bold Italic" w:eastAsia="宋体" w:cs="Times New Roman Bold Italic"/>
          <w:b/>
          <w:bCs/>
          <w:i/>
          <w:iCs/>
          <w:sz w:val="22"/>
          <w:szCs w:val="22"/>
          <w:lang w:val="en-US" w:eastAsia="zh-CN"/>
        </w:rPr>
      </w:pPr>
      <w:r>
        <w:rPr>
          <w:rFonts w:hint="default" w:ascii="Times New Roman Bold Italic" w:hAnsi="Times New Roman Bold Italic" w:eastAsia="宋体" w:cs="Times New Roman Bold Italic"/>
          <w:b/>
          <w:bCs/>
          <w:i/>
          <w:iCs/>
          <w:sz w:val="22"/>
          <w:szCs w:val="22"/>
          <w:lang w:val="en-US" w:eastAsia="zh-CN"/>
        </w:rPr>
        <w:t>Proposal 5: Consider one unified metrics could be used for 6G EE evaluation by combined with peak energy efficiency ratio, latency energy ratio, coverage energy ratio, idle power ratio and energy power density, which relates to UPT, QoS and latency, etc.</w:t>
      </w:r>
    </w:p>
    <w:p w14:paraId="5F493E10">
      <w:pPr>
        <w:pStyle w:val="5"/>
        <w:rPr>
          <w:rFonts w:hint="default" w:ascii="Times New Roman Bold Italic" w:hAnsi="Times New Roman Bold Italic" w:eastAsia="宋体" w:cs="Times New Roman Bold Italic"/>
          <w:b/>
          <w:bCs/>
          <w:i/>
          <w:iCs/>
          <w:sz w:val="22"/>
          <w:szCs w:val="22"/>
          <w:lang w:val="en-US" w:eastAsia="zh-CN"/>
        </w:rPr>
      </w:pPr>
    </w:p>
    <w:p w14:paraId="2E9C43D1">
      <w:pPr>
        <w:pStyle w:val="5"/>
        <w:rPr>
          <w:rFonts w:hint="default" w:ascii="Times New Roman Bold Italic" w:hAnsi="Times New Roman Bold Italic" w:cs="Times New Roman Bold Italic"/>
          <w:b/>
          <w:bCs/>
          <w:i/>
          <w:iCs/>
          <w:sz w:val="22"/>
          <w:szCs w:val="22"/>
          <w:lang w:val="en-US" w:eastAsia="zh-CN"/>
        </w:rPr>
      </w:pPr>
      <w:r>
        <w:rPr>
          <w:rFonts w:ascii="Times New Roman Bold Italic" w:hAnsi="Times New Roman Bold Italic" w:cs="Times New Roman Bold Italic"/>
          <w:b/>
          <w:bCs/>
          <w:i/>
          <w:iCs/>
          <w:sz w:val="22"/>
          <w:szCs w:val="22"/>
          <w:lang w:eastAsia="zh-CN"/>
        </w:rPr>
        <w:t>Proposal</w:t>
      </w:r>
      <w:r>
        <w:rPr>
          <w:rFonts w:hint="eastAsia" w:ascii="Times New Roman Bold Italic" w:hAnsi="Times New Roman Bold Italic" w:cs="Times New Roman Bold Italic"/>
          <w:b/>
          <w:bCs/>
          <w:i/>
          <w:iCs/>
          <w:sz w:val="22"/>
          <w:szCs w:val="22"/>
          <w:lang w:eastAsia="zh-CN"/>
        </w:rPr>
        <w:t xml:space="preserve"> </w:t>
      </w:r>
      <w:r>
        <w:rPr>
          <w:rFonts w:hint="default" w:ascii="Times New Roman Bold Italic" w:hAnsi="Times New Roman Bold Italic" w:cs="Times New Roman Bold Italic"/>
          <w:b/>
          <w:bCs/>
          <w:i/>
          <w:iCs/>
          <w:sz w:val="22"/>
          <w:szCs w:val="22"/>
          <w:lang w:val="en-US" w:eastAsia="zh-CN"/>
        </w:rPr>
        <w:t>6</w:t>
      </w:r>
      <w:r>
        <w:rPr>
          <w:rFonts w:ascii="Times New Roman Bold Italic" w:hAnsi="Times New Roman Bold Italic" w:cs="Times New Roman Bold Italic"/>
          <w:b/>
          <w:bCs/>
          <w:i/>
          <w:iCs/>
          <w:sz w:val="22"/>
          <w:szCs w:val="22"/>
          <w:lang w:eastAsia="zh-CN"/>
        </w:rPr>
        <w:t xml:space="preserve">: </w:t>
      </w:r>
      <w:r>
        <w:rPr>
          <w:rFonts w:hint="default" w:ascii="Times New Roman Bold Italic" w:hAnsi="Times New Roman Bold Italic" w:cs="Times New Roman Bold Italic"/>
          <w:b/>
          <w:bCs/>
          <w:i/>
          <w:iCs/>
          <w:sz w:val="22"/>
          <w:szCs w:val="22"/>
          <w:lang w:val="en-US" w:eastAsia="zh-CN"/>
        </w:rPr>
        <w:t>For evaluation or study, consider whether/how to introduce unified metrics like energy efficiency level (EEL) to define NW/UW or joint NW and UE power consumption.</w:t>
      </w:r>
    </w:p>
    <w:p w14:paraId="6BE89E3F">
      <w:pPr>
        <w:rPr>
          <w:rFonts w:hint="default" w:ascii="Times New Roman Bold Italic" w:hAnsi="Times New Roman Bold Italic" w:cs="Times New Roman Bold Italic"/>
          <w:b/>
          <w:bCs/>
          <w:i/>
          <w:iCs/>
          <w:lang w:val="en-US" w:eastAsia="zh-CN"/>
        </w:rPr>
      </w:pPr>
    </w:p>
    <w:p w14:paraId="3EC4A6B2">
      <w:pPr>
        <w:pStyle w:val="5"/>
        <w:rPr>
          <w:rFonts w:eastAsia="等线"/>
          <w:sz w:val="22"/>
          <w:szCs w:val="22"/>
          <w:lang w:eastAsia="zh-CN"/>
        </w:rPr>
      </w:pPr>
      <w:r>
        <w:rPr>
          <w:rFonts w:ascii="Times New Roman Bold Italic" w:hAnsi="Times New Roman Bold Italic" w:cs="Times New Roman Bold Italic"/>
          <w:b/>
          <w:bCs/>
          <w:i/>
          <w:iCs/>
          <w:sz w:val="22"/>
          <w:szCs w:val="22"/>
          <w:lang w:eastAsia="zh-CN"/>
        </w:rPr>
        <w:t>Proposal</w:t>
      </w:r>
      <w:r>
        <w:rPr>
          <w:rFonts w:hint="eastAsia" w:ascii="Times New Roman Bold Italic" w:hAnsi="Times New Roman Bold Italic" w:cs="Times New Roman Bold Italic"/>
          <w:b/>
          <w:bCs/>
          <w:i/>
          <w:iCs/>
          <w:sz w:val="22"/>
          <w:szCs w:val="22"/>
          <w:lang w:eastAsia="zh-CN"/>
        </w:rPr>
        <w:t xml:space="preserve"> </w:t>
      </w:r>
      <w:r>
        <w:rPr>
          <w:rFonts w:hint="default" w:ascii="Times New Roman Bold Italic" w:hAnsi="Times New Roman Bold Italic" w:cs="Times New Roman Bold Italic"/>
          <w:b/>
          <w:bCs/>
          <w:i/>
          <w:iCs/>
          <w:sz w:val="22"/>
          <w:szCs w:val="22"/>
          <w:lang w:val="en-US" w:eastAsia="zh-CN"/>
        </w:rPr>
        <w:t>7</w:t>
      </w:r>
      <w:r>
        <w:rPr>
          <w:rFonts w:ascii="Times New Roman Bold Italic" w:hAnsi="Times New Roman Bold Italic" w:cs="Times New Roman Bold Italic"/>
          <w:b/>
          <w:bCs/>
          <w:i/>
          <w:iCs/>
          <w:sz w:val="22"/>
          <w:szCs w:val="22"/>
          <w:lang w:eastAsia="zh-CN"/>
        </w:rPr>
        <w:t xml:space="preserve">: </w:t>
      </w:r>
      <w:r>
        <w:rPr>
          <w:rFonts w:hint="default" w:ascii="Times New Roman Bold Italic" w:hAnsi="Times New Roman Bold Italic" w:cs="Times New Roman Bold Italic"/>
          <w:b/>
          <w:bCs/>
          <w:i/>
          <w:iCs/>
          <w:sz w:val="22"/>
          <w:szCs w:val="22"/>
          <w:lang w:val="en-US" w:eastAsia="zh-CN"/>
        </w:rPr>
        <w:t>Consider how to handle with or manage the conflict between 6G EE and UPT/QoS/Latency.</w:t>
      </w:r>
    </w:p>
    <w:p w14:paraId="711D096C">
      <w:pPr>
        <w:rPr>
          <w:rFonts w:eastAsia="等线"/>
          <w:lang w:eastAsia="zh-CN"/>
        </w:rPr>
      </w:pPr>
    </w:p>
    <w:p w14:paraId="26E1B5E5">
      <w:pPr>
        <w:numPr>
          <w:ilvl w:val="0"/>
          <w:numId w:val="0"/>
        </w:numPr>
        <w:outlineLvl w:val="1"/>
        <w:rPr>
          <w:rFonts w:hint="eastAsia" w:ascii="Times New Roman Bold Italic" w:hAnsi="Times New Roman Bold Italic" w:eastAsia="等线" w:cs="Times New Roman Bold Italic"/>
          <w:b/>
          <w:bCs/>
          <w:i/>
          <w:iCs/>
          <w:highlight w:val="yellow"/>
          <w:u w:val="single"/>
          <w:lang w:val="en-US" w:eastAsia="zh-CN"/>
        </w:rPr>
      </w:pPr>
      <w:r>
        <w:rPr>
          <w:rFonts w:hint="eastAsia" w:ascii="Times New Roman Bold Italic" w:hAnsi="Times New Roman Bold Italic" w:eastAsia="等线" w:cs="Times New Roman Bold Italic"/>
          <w:b/>
          <w:bCs/>
          <w:i/>
          <w:iCs/>
          <w:highlight w:val="yellow"/>
          <w:u w:val="single"/>
          <w:lang w:val="en-US" w:eastAsia="zh-CN"/>
        </w:rPr>
        <w:t>Reference configurations and power model(s) for 6G BS</w:t>
      </w:r>
    </w:p>
    <w:p w14:paraId="1D8FF545">
      <w:pPr>
        <w:pStyle w:val="5"/>
        <w:rPr>
          <w:rFonts w:hint="default" w:ascii="Times New Roman Bold Italic" w:hAnsi="Times New Roman Bold Italic" w:cs="Times New Roman Bold Italic"/>
          <w:b/>
          <w:bCs/>
          <w:i/>
          <w:iCs/>
          <w:sz w:val="22"/>
          <w:szCs w:val="22"/>
          <w:lang w:val="en-US" w:eastAsia="zh-CN"/>
        </w:rPr>
      </w:pPr>
      <w:r>
        <w:rPr>
          <w:rFonts w:ascii="Times New Roman Bold Italic" w:hAnsi="Times New Roman Bold Italic" w:cs="Times New Roman Bold Italic"/>
          <w:b/>
          <w:bCs/>
          <w:i/>
          <w:iCs/>
          <w:sz w:val="22"/>
          <w:szCs w:val="22"/>
          <w:lang w:eastAsia="zh-CN"/>
        </w:rPr>
        <w:t xml:space="preserve">Observation </w:t>
      </w:r>
      <w:r>
        <w:rPr>
          <w:rFonts w:hint="default" w:ascii="Times New Roman Bold Italic" w:hAnsi="Times New Roman Bold Italic" w:cs="Times New Roman Bold Italic"/>
          <w:b/>
          <w:bCs/>
          <w:i/>
          <w:iCs/>
          <w:sz w:val="22"/>
          <w:szCs w:val="22"/>
          <w:lang w:val="en-US" w:eastAsia="zh-CN"/>
        </w:rPr>
        <w:t>8</w:t>
      </w:r>
      <w:r>
        <w:rPr>
          <w:rFonts w:ascii="Times New Roman Bold Italic" w:hAnsi="Times New Roman Bold Italic" w:cs="Times New Roman Bold Italic"/>
          <w:b/>
          <w:bCs/>
          <w:i/>
          <w:iCs/>
          <w:sz w:val="22"/>
          <w:szCs w:val="22"/>
          <w:lang w:eastAsia="zh-CN"/>
        </w:rPr>
        <w:t xml:space="preserve">: </w:t>
      </w:r>
      <w:r>
        <w:rPr>
          <w:rFonts w:hint="default" w:ascii="Times New Roman Bold Italic" w:hAnsi="Times New Roman Bold Italic" w:cs="Times New Roman Bold Italic"/>
          <w:b/>
          <w:bCs/>
          <w:i/>
          <w:iCs/>
          <w:sz w:val="22"/>
          <w:szCs w:val="22"/>
          <w:lang w:val="en-US" w:eastAsia="zh-CN"/>
        </w:rPr>
        <w:t>For set 4 around 7GHz, t</w:t>
      </w:r>
      <w:r>
        <w:rPr>
          <w:rFonts w:hint="eastAsia" w:ascii="Times New Roman Bold Italic" w:hAnsi="Times New Roman Bold Italic" w:cs="Times New Roman Bold Italic"/>
          <w:b/>
          <w:bCs/>
          <w:i/>
          <w:iCs/>
          <w:sz w:val="22"/>
          <w:szCs w:val="22"/>
          <w:lang w:val="en-US" w:eastAsia="zh-CN"/>
        </w:rPr>
        <w:t>here</w:t>
      </w:r>
      <w:r>
        <w:rPr>
          <w:rFonts w:hint="default" w:ascii="Times New Roman Bold Italic" w:hAnsi="Times New Roman Bold Italic" w:cs="Times New Roman Bold Italic"/>
          <w:b/>
          <w:bCs/>
          <w:i/>
          <w:iCs/>
          <w:sz w:val="22"/>
          <w:szCs w:val="22"/>
          <w:lang w:val="en-US" w:eastAsia="zh-CN"/>
        </w:rPr>
        <w:t xml:space="preserve"> are a larger number of DL/UL RUs (e.g., [128,256]) than FR1 or FR2 (e.g., &lt;</w:t>
      </w:r>
      <w:r>
        <w:rPr>
          <w:rFonts w:hint="eastAsia" w:ascii="Times New Roman Bold Italic" w:hAnsi="Times New Roman Bold Italic" w:cs="Times New Roman Bold Italic"/>
          <w:b/>
          <w:bCs/>
          <w:i/>
          <w:iCs/>
          <w:sz w:val="22"/>
          <w:szCs w:val="22"/>
          <w:lang w:val="en-US" w:eastAsia="zh-CN"/>
        </w:rPr>
        <w:t>=64</w:t>
      </w:r>
      <w:r>
        <w:rPr>
          <w:rFonts w:hint="default" w:ascii="Times New Roman Bold Italic" w:hAnsi="Times New Roman Bold Italic" w:cs="Times New Roman Bold Italic"/>
          <w:b/>
          <w:bCs/>
          <w:i/>
          <w:iCs/>
          <w:sz w:val="22"/>
          <w:szCs w:val="22"/>
          <w:lang w:val="en-US" w:eastAsia="zh-CN"/>
        </w:rPr>
        <w:t>)</w:t>
      </w:r>
      <w:r>
        <w:rPr>
          <w:rFonts w:hint="eastAsia" w:ascii="Times New Roman Bold Italic" w:hAnsi="Times New Roman Bold Italic" w:cs="Times New Roman Bold Italic"/>
          <w:b/>
          <w:bCs/>
          <w:i/>
          <w:iCs/>
          <w:sz w:val="22"/>
          <w:szCs w:val="22"/>
          <w:lang w:val="en-US" w:eastAsia="zh-CN"/>
        </w:rPr>
        <w:t xml:space="preserve"> due</w:t>
      </w:r>
      <w:r>
        <w:rPr>
          <w:rFonts w:hint="default" w:ascii="Times New Roman Bold Italic" w:hAnsi="Times New Roman Bold Italic" w:cs="Times New Roman Bold Italic"/>
          <w:b/>
          <w:bCs/>
          <w:i/>
          <w:iCs/>
          <w:sz w:val="22"/>
          <w:szCs w:val="22"/>
          <w:lang w:val="en-US" w:eastAsia="zh-CN"/>
        </w:rPr>
        <w:t xml:space="preserve"> to </w:t>
      </w:r>
      <w:r>
        <w:rPr>
          <w:rFonts w:hint="eastAsia" w:ascii="Times New Roman Bold Italic" w:hAnsi="Times New Roman Bold Italic" w:cs="Times New Roman Bold Italic"/>
          <w:b/>
          <w:bCs/>
          <w:i/>
          <w:iCs/>
          <w:sz w:val="22"/>
          <w:szCs w:val="22"/>
          <w:lang w:val="en-US" w:eastAsia="zh-CN"/>
        </w:rPr>
        <w:t>more</w:t>
      </w:r>
      <w:r>
        <w:rPr>
          <w:rFonts w:hint="default" w:ascii="Times New Roman Bold Italic" w:hAnsi="Times New Roman Bold Italic" w:cs="Times New Roman Bold Italic"/>
          <w:b/>
          <w:bCs/>
          <w:i/>
          <w:iCs/>
          <w:sz w:val="22"/>
          <w:szCs w:val="22"/>
          <w:lang w:val="en-US" w:eastAsia="zh-CN"/>
        </w:rPr>
        <w:t xml:space="preserve"> antenna number or stream number for FR3 MIMO.</w:t>
      </w:r>
    </w:p>
    <w:p w14:paraId="72FA2789">
      <w:pPr>
        <w:numPr>
          <w:ilvl w:val="0"/>
          <w:numId w:val="0"/>
        </w:numPr>
        <w:outlineLvl w:val="9"/>
        <w:rPr>
          <w:rFonts w:hint="eastAsia" w:ascii="Times New Roman Bold Italic" w:hAnsi="Times New Roman Bold Italic" w:eastAsia="等线" w:cs="Times New Roman Bold Italic"/>
          <w:b/>
          <w:bCs/>
          <w:i/>
          <w:iCs/>
          <w:highlight w:val="yellow"/>
          <w:u w:val="single"/>
          <w:lang w:val="en-US" w:eastAsia="zh-CN"/>
        </w:rPr>
      </w:pPr>
    </w:p>
    <w:p w14:paraId="4C81D9E1">
      <w:pPr>
        <w:pStyle w:val="5"/>
        <w:rPr>
          <w:rFonts w:hint="default" w:ascii="Times New Roman Bold Italic" w:hAnsi="Times New Roman Bold Italic" w:cs="Times New Roman Bold Italic"/>
          <w:b/>
          <w:bCs/>
          <w:i/>
          <w:iCs/>
          <w:sz w:val="22"/>
          <w:szCs w:val="22"/>
          <w:lang w:val="en-US" w:eastAsia="zh-CN"/>
        </w:rPr>
      </w:pPr>
      <w:r>
        <w:rPr>
          <w:rFonts w:hint="default" w:ascii="Times New Roman Bold Italic" w:hAnsi="Times New Roman Bold Italic" w:cs="Times New Roman Bold Italic"/>
          <w:b/>
          <w:bCs/>
          <w:i/>
          <w:iCs/>
          <w:sz w:val="22"/>
          <w:szCs w:val="22"/>
          <w:lang w:val="en-US" w:eastAsia="zh-CN"/>
        </w:rPr>
        <w:t xml:space="preserve">Observation 9: </w:t>
      </w:r>
      <w:r>
        <w:rPr>
          <w:rFonts w:hint="eastAsia" w:ascii="Times New Roman Bold Italic" w:hAnsi="Times New Roman Bold Italic" w:cs="Times New Roman Bold Italic"/>
          <w:b/>
          <w:bCs/>
          <w:i/>
          <w:iCs/>
          <w:sz w:val="22"/>
          <w:szCs w:val="22"/>
          <w:lang w:val="en-US" w:eastAsia="zh-CN"/>
        </w:rPr>
        <w:t>For</w:t>
      </w:r>
      <w:r>
        <w:rPr>
          <w:rFonts w:hint="default" w:ascii="Times New Roman Bold Italic" w:hAnsi="Times New Roman Bold Italic" w:cs="Times New Roman Bold Italic"/>
          <w:b/>
          <w:bCs/>
          <w:i/>
          <w:iCs/>
          <w:sz w:val="22"/>
          <w:szCs w:val="22"/>
          <w:lang w:val="en-US" w:eastAsia="zh-CN"/>
        </w:rPr>
        <w:t xml:space="preserve"> set 4, a</w:t>
      </w:r>
      <w:r>
        <w:rPr>
          <w:rFonts w:hint="default" w:ascii="Times New Roman Bold Italic" w:hAnsi="Times New Roman Bold Italic" w:cs="Times New Roman Bold Italic"/>
          <w:b/>
          <w:bCs/>
          <w:i/>
          <w:iCs/>
          <w:sz w:val="22"/>
          <w:szCs w:val="22"/>
        </w:rPr>
        <w:t xml:space="preserve"> configuration with 128 TRX might represent an initial 6G macro cell deployment in markets or environments where cost and hardware complexity are constrained. On the higher end, 256 TRX enables an “eXtreme MIMO” macro cell for ultra-high capacity in dense urban areas.</w:t>
      </w:r>
      <w:r>
        <w:rPr>
          <w:rFonts w:hint="default" w:ascii="Times New Roman Bold Italic" w:hAnsi="Times New Roman Bold Italic" w:cs="Times New Roman Bold Italic"/>
          <w:b/>
          <w:bCs/>
          <w:i/>
          <w:iCs/>
          <w:sz w:val="22"/>
          <w:szCs w:val="22"/>
          <w:lang w:val="en-US" w:eastAsia="zh-CN"/>
        </w:rPr>
        <w:t xml:space="preserve"> </w:t>
      </w:r>
    </w:p>
    <w:p w14:paraId="6241650F">
      <w:pPr>
        <w:pStyle w:val="5"/>
        <w:rPr>
          <w:rFonts w:hint="default" w:ascii="Times New Roman Bold Italic" w:hAnsi="Times New Roman Bold Italic" w:cs="Times New Roman Bold Italic"/>
          <w:b/>
          <w:bCs/>
          <w:i/>
          <w:iCs/>
          <w:sz w:val="22"/>
          <w:szCs w:val="22"/>
          <w:lang w:val="en-US" w:eastAsia="zh-CN"/>
        </w:rPr>
      </w:pPr>
    </w:p>
    <w:p w14:paraId="0F79A233">
      <w:pPr>
        <w:keepNext w:val="0"/>
        <w:keepLines w:val="0"/>
        <w:widowControl/>
        <w:suppressLineNumbers w:val="0"/>
        <w:jc w:val="both"/>
        <w:rPr>
          <w:rFonts w:ascii="Times New Roman" w:hAnsi="Times New Roman" w:eastAsia="宋体" w:cs="Times New Roman"/>
          <w:b/>
          <w:bCs/>
          <w:i/>
          <w:iCs/>
          <w:sz w:val="22"/>
          <w:szCs w:val="22"/>
          <w:lang w:val="en-US" w:eastAsia="zh-CN" w:bidi="ar-SA"/>
        </w:rPr>
      </w:pPr>
      <w:r>
        <w:rPr>
          <w:rFonts w:hint="default"/>
          <w:b/>
          <w:bCs/>
          <w:i/>
          <w:iCs/>
          <w:sz w:val="22"/>
          <w:szCs w:val="22"/>
          <w:lang w:val="en-US"/>
        </w:rPr>
        <w:t xml:space="preserve">Observation 10: </w:t>
      </w:r>
      <w:r>
        <w:rPr>
          <w:rFonts w:ascii="Times New Roman" w:hAnsi="Times New Roman" w:eastAsia="宋体" w:cs="Times New Roman"/>
          <w:b/>
          <w:bCs/>
          <w:i/>
          <w:iCs/>
          <w:sz w:val="22"/>
          <w:szCs w:val="22"/>
          <w:lang w:val="en-US" w:eastAsia="zh-CN" w:bidi="ar-SA"/>
        </w:rPr>
        <w:t xml:space="preserve">The introduction of Ultra Deep Sleep and Active LPR states directly targets energy waste in scenarios of very low or no traffic, which are common in real networks (think of nightly off-peak hours, or rural and suburban cells during quiet periods). </w:t>
      </w:r>
    </w:p>
    <w:p w14:paraId="1BC7880D">
      <w:pPr>
        <w:keepNext w:val="0"/>
        <w:keepLines w:val="0"/>
        <w:widowControl/>
        <w:suppressLineNumbers w:val="0"/>
        <w:jc w:val="both"/>
        <w:rPr>
          <w:rFonts w:ascii="Times New Roman" w:hAnsi="Times New Roman" w:eastAsia="宋体" w:cs="Times New Roman"/>
          <w:b/>
          <w:bCs/>
          <w:i/>
          <w:iCs/>
          <w:sz w:val="22"/>
          <w:szCs w:val="22"/>
          <w:lang w:val="en-US" w:eastAsia="zh-CN" w:bidi="ar-SA"/>
        </w:rPr>
      </w:pPr>
    </w:p>
    <w:p w14:paraId="46422242">
      <w:pPr>
        <w:pStyle w:val="5"/>
        <w:rPr>
          <w:rFonts w:hint="default" w:ascii="Times New Roman Bold Italic" w:hAnsi="Times New Roman Bold Italic" w:cs="Times New Roman Bold Italic"/>
          <w:b/>
          <w:bCs/>
          <w:i/>
          <w:iCs/>
          <w:sz w:val="22"/>
          <w:szCs w:val="22"/>
        </w:rPr>
      </w:pPr>
      <w:r>
        <w:rPr>
          <w:rFonts w:hint="default" w:ascii="Times New Roman Bold Italic" w:hAnsi="Times New Roman Bold Italic" w:cs="Times New Roman Bold Italic"/>
          <w:b/>
          <w:bCs/>
          <w:i/>
          <w:iCs/>
          <w:sz w:val="22"/>
          <w:szCs w:val="22"/>
          <w:lang w:val="en-US" w:eastAsia="zh-CN"/>
        </w:rPr>
        <w:t xml:space="preserve">Observation 11: </w:t>
      </w:r>
      <w:r>
        <w:rPr>
          <w:rFonts w:hint="default" w:ascii="Times New Roman Bold Italic" w:hAnsi="Times New Roman Bold Italic" w:cs="Times New Roman Bold Italic"/>
          <w:b/>
          <w:bCs/>
          <w:i/>
          <w:iCs/>
          <w:sz w:val="22"/>
          <w:szCs w:val="22"/>
        </w:rPr>
        <w:t>The proposal of a Category 3 hardware class and an ultra-deep sleep state allows the model to capture an alternate power-saving strategy (slow, ultra-low-power idle mode with an auxiliary radio) alongside the Category 1 strategy (fast wake-up, low static power)</w:t>
      </w:r>
    </w:p>
    <w:p w14:paraId="1A532F79">
      <w:pPr>
        <w:pStyle w:val="5"/>
        <w:rPr>
          <w:rFonts w:hint="default" w:ascii="Times New Roman Bold Italic" w:hAnsi="Times New Roman Bold Italic" w:cs="Times New Roman Bold Italic"/>
          <w:b/>
          <w:bCs/>
          <w:i/>
          <w:iCs/>
          <w:sz w:val="22"/>
          <w:szCs w:val="22"/>
        </w:rPr>
      </w:pPr>
    </w:p>
    <w:p w14:paraId="3AAFB673">
      <w:pPr>
        <w:pStyle w:val="5"/>
        <w:rPr>
          <w:b/>
          <w:bCs/>
          <w:i/>
          <w:iCs/>
          <w:lang w:eastAsia="zh-CN"/>
        </w:rPr>
      </w:pPr>
      <w:r>
        <w:rPr>
          <w:rFonts w:hint="default"/>
          <w:b/>
          <w:bCs/>
          <w:i/>
          <w:iCs/>
          <w:sz w:val="22"/>
          <w:szCs w:val="22"/>
          <w:lang w:val="en-US"/>
        </w:rPr>
        <w:t xml:space="preserve">Observation 12: For </w:t>
      </w:r>
      <w:r>
        <w:rPr>
          <w:rFonts w:hint="default"/>
          <w:b/>
          <w:bCs/>
          <w:i/>
          <w:iCs/>
          <w:sz w:val="22"/>
          <w:szCs w:val="22"/>
          <w:lang w:val="en-US" w:eastAsia="zh-CN"/>
        </w:rPr>
        <w:t xml:space="preserve">the BS power consumption model for active DL transmission, </w:t>
      </w:r>
      <w:r>
        <w:rPr>
          <w:b/>
          <w:bCs/>
          <w:i/>
          <w:iCs/>
          <w:sz w:val="22"/>
          <w:szCs w:val="22"/>
        </w:rPr>
        <w:t xml:space="preserve"> an illustrative power model is:</w:t>
      </w:r>
      <w:r>
        <w:rPr>
          <w:b/>
          <w:bCs/>
          <w:i/>
          <w:iCs/>
        </w:rPr>
        <w:tab/>
      </w:r>
    </w:p>
    <w:p w14:paraId="0A920E36">
      <w:pPr>
        <w:pStyle w:val="5"/>
        <w:rPr>
          <w:b/>
          <w:bCs/>
          <w:i/>
          <w:iCs/>
        </w:rPr>
      </w:pPr>
      <m:oMathPara>
        <m:oMathParaPr>
          <m:jc m:val="center"/>
        </m:oMathParaPr>
        <m:oMath>
          <m:sSubSup>
            <m:sSubSupPr>
              <m:ctrlPr>
                <w:rPr>
                  <w:rFonts w:ascii="DejaVu Math TeX Gyre" w:hAnsi="DejaVu Math TeX Gyre"/>
                  <w:b/>
                  <w:bCs/>
                  <w:i/>
                  <w:iCs/>
                </w:rPr>
              </m:ctrlPr>
            </m:sSubSupPr>
            <m:e>
              <m:r>
                <m:rPr>
                  <m:sty m:val="bi"/>
                </m:rPr>
                <w:rPr>
                  <w:rFonts w:hint="default" w:ascii="DejaVu Math TeX Gyre" w:hAnsi="DejaVu Math TeX Gyre"/>
                </w:rPr>
                <m:t>P</m:t>
              </m:r>
              <m:ctrlPr>
                <w:rPr>
                  <w:rFonts w:ascii="DejaVu Math TeX Gyre" w:hAnsi="DejaVu Math TeX Gyre"/>
                  <w:b/>
                  <w:bCs/>
                  <w:i/>
                  <w:iCs/>
                </w:rPr>
              </m:ctrlPr>
            </m:e>
            <m:sub>
              <m:r>
                <m:rPr>
                  <m:nor/>
                  <m:sty m:val="bi"/>
                </m:rPr>
                <w:rPr>
                  <w:rFonts w:ascii="DejaVu Math TeX Gyre" w:hAnsi="DejaVu Math TeX Gyre"/>
                  <w:b/>
                  <w:bCs/>
                  <w:i/>
                  <w:iCs/>
                </w:rPr>
                <m:t>BS</m:t>
              </m:r>
              <m:ctrlPr>
                <w:rPr>
                  <w:rFonts w:ascii="DejaVu Math TeX Gyre" w:hAnsi="DejaVu Math TeX Gyre"/>
                  <w:b/>
                  <w:bCs/>
                  <w:i/>
                  <w:iCs/>
                </w:rPr>
              </m:ctrlPr>
            </m:sub>
            <m:sup>
              <m:r>
                <m:rPr>
                  <m:sty m:val="bi"/>
                </m:rPr>
                <w:rPr>
                  <w:rFonts w:hint="default" w:ascii="DejaVu Math TeX Gyre" w:hAnsi="DejaVu Math TeX Gyre"/>
                </w:rPr>
                <m:t>DL</m:t>
              </m:r>
              <m:ctrlPr>
                <w:rPr>
                  <w:rFonts w:ascii="DejaVu Math TeX Gyre" w:hAnsi="DejaVu Math TeX Gyre"/>
                  <w:b/>
                  <w:bCs/>
                  <w:i/>
                  <w:iCs/>
                </w:rPr>
              </m:ctrlPr>
            </m:sup>
          </m:sSubSup>
          <m:d>
            <m:dPr>
              <m:ctrlPr>
                <w:rPr>
                  <w:rFonts w:ascii="DejaVu Math TeX Gyre" w:hAnsi="DejaVu Math TeX Gyre"/>
                  <w:b/>
                  <w:bCs/>
                  <w:i/>
                  <w:iCs/>
                </w:rPr>
              </m:ctrlPr>
            </m:dPr>
            <m:e>
              <m:sSub>
                <m:sSubPr>
                  <m:ctrlPr>
                    <w:rPr>
                      <w:rFonts w:ascii="DejaVu Math TeX Gyre" w:hAnsi="DejaVu Math TeX Gyre"/>
                      <w:b/>
                      <w:bCs/>
                      <w:i/>
                      <w:iCs/>
                    </w:rPr>
                  </m:ctrlPr>
                </m:sSubPr>
                <m:e>
                  <m:r>
                    <m:rPr>
                      <m:sty m:val="bi"/>
                    </m:rPr>
                    <w:rPr>
                      <w:rFonts w:hint="default" w:ascii="DejaVu Math TeX Gyre" w:hAnsi="DejaVu Math TeX Gyre"/>
                    </w:rPr>
                    <m:t>α</m:t>
                  </m:r>
                  <m:ctrlPr>
                    <w:rPr>
                      <w:rFonts w:ascii="DejaVu Math TeX Gyre" w:hAnsi="DejaVu Math TeX Gyre"/>
                      <w:b/>
                      <w:bCs/>
                      <w:i/>
                      <w:iCs/>
                    </w:rPr>
                  </m:ctrlPr>
                </m:e>
                <m:sub>
                  <m:r>
                    <m:rPr>
                      <m:sty m:val="bi"/>
                    </m:rPr>
                    <w:rPr>
                      <w:rFonts w:hint="default" w:ascii="DejaVu Math TeX Gyre" w:hAnsi="DejaVu Math TeX Gyre"/>
                    </w:rPr>
                    <m:t>t</m:t>
                  </m:r>
                  <m:ctrlPr>
                    <w:rPr>
                      <w:rFonts w:ascii="DejaVu Math TeX Gyre" w:hAnsi="DejaVu Math TeX Gyre"/>
                      <w:b/>
                      <w:bCs/>
                      <w:i/>
                      <w:iCs/>
                    </w:rPr>
                  </m:ctrlPr>
                </m:sub>
              </m:sSub>
              <m:r>
                <m:rPr>
                  <m:sty m:val="bi"/>
                </m:rPr>
                <w:rPr>
                  <w:rFonts w:ascii="DejaVu Math TeX Gyre" w:hAnsi="DejaVu Math TeX Gyre"/>
                </w:rPr>
                <m:t>,</m:t>
              </m:r>
              <m:sSub>
                <m:sSubPr>
                  <m:ctrlPr>
                    <w:rPr>
                      <w:rFonts w:ascii="DejaVu Math TeX Gyre" w:hAnsi="DejaVu Math TeX Gyre"/>
                      <w:b/>
                      <w:bCs/>
                      <w:i/>
                      <w:iCs/>
                    </w:rPr>
                  </m:ctrlPr>
                </m:sSubPr>
                <m:e>
                  <m:r>
                    <m:rPr>
                      <m:sty m:val="bi"/>
                    </m:rPr>
                    <w:rPr>
                      <w:rFonts w:hint="default" w:ascii="DejaVu Math TeX Gyre" w:hAnsi="DejaVu Math TeX Gyre"/>
                    </w:rPr>
                    <m:t>α</m:t>
                  </m:r>
                  <m:ctrlPr>
                    <w:rPr>
                      <w:rFonts w:ascii="DejaVu Math TeX Gyre" w:hAnsi="DejaVu Math TeX Gyre"/>
                      <w:b/>
                      <w:bCs/>
                      <w:i/>
                      <w:iCs/>
                    </w:rPr>
                  </m:ctrlPr>
                </m:e>
                <m:sub>
                  <m:r>
                    <m:rPr>
                      <m:sty m:val="bi"/>
                    </m:rPr>
                    <w:rPr>
                      <w:rFonts w:hint="default" w:ascii="DejaVu Math TeX Gyre" w:hAnsi="DejaVu Math TeX Gyre"/>
                    </w:rPr>
                    <m:t>f</m:t>
                  </m:r>
                  <m:ctrlPr>
                    <w:rPr>
                      <w:rFonts w:ascii="DejaVu Math TeX Gyre" w:hAnsi="DejaVu Math TeX Gyre"/>
                      <w:b/>
                      <w:bCs/>
                      <w:i/>
                      <w:iCs/>
                    </w:rPr>
                  </m:ctrlPr>
                </m:sub>
              </m:sSub>
              <m:r>
                <m:rPr>
                  <m:sty m:val="bi"/>
                </m:rPr>
                <w:rPr>
                  <w:rFonts w:ascii="DejaVu Math TeX Gyre" w:hAnsi="DejaVu Math TeX Gyre"/>
                </w:rPr>
                <m:t>,</m:t>
              </m:r>
              <m:sSub>
                <m:sSubPr>
                  <m:ctrlPr>
                    <w:rPr>
                      <w:rFonts w:ascii="DejaVu Math TeX Gyre" w:hAnsi="DejaVu Math TeX Gyre"/>
                      <w:b/>
                      <w:bCs/>
                      <w:i/>
                      <w:iCs/>
                    </w:rPr>
                  </m:ctrlPr>
                </m:sSubPr>
                <m:e>
                  <m:r>
                    <m:rPr>
                      <m:sty m:val="bi"/>
                    </m:rPr>
                    <w:rPr>
                      <w:rFonts w:hint="default" w:ascii="DejaVu Math TeX Gyre" w:hAnsi="DejaVu Math TeX Gyre"/>
                    </w:rPr>
                    <m:t>α</m:t>
                  </m:r>
                  <m:ctrlPr>
                    <w:rPr>
                      <w:rFonts w:ascii="DejaVu Math TeX Gyre" w:hAnsi="DejaVu Math TeX Gyre"/>
                      <w:b/>
                      <w:bCs/>
                      <w:i/>
                      <w:iCs/>
                    </w:rPr>
                  </m:ctrlPr>
                </m:e>
                <m:sub>
                  <m:r>
                    <m:rPr>
                      <m:sty m:val="bi"/>
                    </m:rPr>
                    <w:rPr>
                      <w:rFonts w:hint="default" w:ascii="DejaVu Math TeX Gyre" w:hAnsi="DejaVu Math TeX Gyre"/>
                    </w:rPr>
                    <m:t>a</m:t>
                  </m:r>
                  <m:ctrlPr>
                    <w:rPr>
                      <w:rFonts w:ascii="DejaVu Math TeX Gyre" w:hAnsi="DejaVu Math TeX Gyre"/>
                      <w:b/>
                      <w:bCs/>
                      <w:i/>
                      <w:iCs/>
                    </w:rPr>
                  </m:ctrlPr>
                </m:sub>
              </m:sSub>
              <m:r>
                <m:rPr>
                  <m:sty m:val="bi"/>
                </m:rPr>
                <w:rPr>
                  <w:rFonts w:ascii="DejaVu Math TeX Gyre" w:hAnsi="DejaVu Math TeX Gyre"/>
                </w:rPr>
                <m:t>,</m:t>
              </m:r>
              <m:sSub>
                <m:sSubPr>
                  <m:ctrlPr>
                    <w:rPr>
                      <w:rFonts w:ascii="DejaVu Math TeX Gyre" w:hAnsi="DejaVu Math TeX Gyre"/>
                      <w:b/>
                      <w:bCs/>
                      <w:i/>
                      <w:iCs/>
                    </w:rPr>
                  </m:ctrlPr>
                </m:sSubPr>
                <m:e>
                  <m:r>
                    <m:rPr>
                      <m:sty m:val="bi"/>
                    </m:rPr>
                    <w:rPr>
                      <w:rFonts w:hint="default" w:ascii="DejaVu Math TeX Gyre" w:hAnsi="DejaVu Math TeX Gyre"/>
                    </w:rPr>
                    <m:t>α</m:t>
                  </m:r>
                  <m:ctrlPr>
                    <w:rPr>
                      <w:rFonts w:ascii="DejaVu Math TeX Gyre" w:hAnsi="DejaVu Math TeX Gyre"/>
                      <w:b/>
                      <w:bCs/>
                      <w:i/>
                      <w:iCs/>
                    </w:rPr>
                  </m:ctrlPr>
                </m:e>
                <m:sub>
                  <m:r>
                    <m:rPr>
                      <m:sty m:val="bi"/>
                    </m:rPr>
                    <w:rPr>
                      <w:rFonts w:hint="default" w:ascii="DejaVu Math TeX Gyre" w:hAnsi="DejaVu Math TeX Gyre"/>
                    </w:rPr>
                    <m:t>p</m:t>
                  </m:r>
                  <m:ctrlPr>
                    <w:rPr>
                      <w:rFonts w:ascii="DejaVu Math TeX Gyre" w:hAnsi="DejaVu Math TeX Gyre"/>
                      <w:b/>
                      <w:bCs/>
                      <w:i/>
                      <w:iCs/>
                    </w:rPr>
                  </m:ctrlPr>
                </m:sub>
              </m:sSub>
              <m:ctrlPr>
                <w:rPr>
                  <w:rFonts w:ascii="DejaVu Math TeX Gyre" w:hAnsi="DejaVu Math TeX Gyre"/>
                  <w:b/>
                  <w:bCs/>
                  <w:i/>
                  <w:iCs/>
                </w:rPr>
              </m:ctrlPr>
            </m:e>
          </m:d>
          <m:r>
            <m:rPr>
              <m:sty m:val="bi"/>
            </m:rPr>
            <w:rPr>
              <w:rFonts w:ascii="DejaVu Math TeX Gyre" w:hAnsi="DejaVu Math TeX Gyre"/>
            </w:rPr>
            <m:t> = </m:t>
          </m:r>
          <m:sSub>
            <m:sSubPr>
              <m:ctrlPr>
                <w:rPr>
                  <w:rFonts w:ascii="DejaVu Math TeX Gyre" w:hAnsi="DejaVu Math TeX Gyre"/>
                  <w:b/>
                  <w:bCs/>
                  <w:i/>
                  <w:iCs/>
                </w:rPr>
              </m:ctrlPr>
            </m:sSubPr>
            <m:e>
              <m:r>
                <m:rPr>
                  <m:sty m:val="bi"/>
                </m:rPr>
                <w:rPr>
                  <w:rFonts w:hint="default" w:ascii="DejaVu Math TeX Gyre" w:hAnsi="DejaVu Math TeX Gyre"/>
                </w:rPr>
                <m:t>P</m:t>
              </m:r>
              <m:ctrlPr>
                <w:rPr>
                  <w:rFonts w:ascii="DejaVu Math TeX Gyre" w:hAnsi="DejaVu Math TeX Gyre"/>
                  <w:b/>
                  <w:bCs/>
                  <w:i/>
                  <w:iCs/>
                </w:rPr>
              </m:ctrlPr>
            </m:e>
            <m:sub>
              <m:r>
                <m:rPr>
                  <m:sty m:val="bi"/>
                </m:rPr>
                <w:rPr>
                  <w:rFonts w:hint="default" w:ascii="DejaVu Math TeX Gyre" w:hAnsi="DejaVu Math TeX Gyre"/>
                </w:rPr>
                <m:t>BS,deep</m:t>
              </m:r>
              <m:ctrlPr>
                <w:rPr>
                  <w:rFonts w:ascii="DejaVu Math TeX Gyre" w:hAnsi="DejaVu Math TeX Gyre"/>
                  <w:b/>
                  <w:bCs/>
                  <w:i/>
                  <w:iCs/>
                </w:rPr>
              </m:ctrlPr>
            </m:sub>
          </m:sSub>
          <m:r>
            <m:rPr>
              <m:sty m:val="bi"/>
            </m:rPr>
            <w:rPr>
              <w:rFonts w:ascii="DejaVu Math TeX Gyre" w:hAnsi="DejaVu Math TeX Gyre"/>
            </w:rPr>
            <m:t> + </m:t>
          </m:r>
          <m:d>
            <m:dPr>
              <m:ctrlPr>
                <w:rPr>
                  <w:rFonts w:ascii="DejaVu Math TeX Gyre" w:hAnsi="DejaVu Math TeX Gyre"/>
                  <w:b/>
                  <w:bCs/>
                  <w:i/>
                  <w:iCs/>
                </w:rPr>
              </m:ctrlPr>
            </m:dPr>
            <m:e>
              <m:sSub>
                <m:sSubPr>
                  <m:ctrlPr>
                    <w:rPr>
                      <w:rFonts w:ascii="DejaVu Math TeX Gyre" w:hAnsi="DejaVu Math TeX Gyre"/>
                      <w:b/>
                      <w:bCs/>
                      <w:i/>
                      <w:iCs/>
                    </w:rPr>
                  </m:ctrlPr>
                </m:sSubPr>
                <m:e>
                  <m:r>
                    <m:rPr>
                      <m:sty m:val="bi"/>
                    </m:rPr>
                    <w:rPr>
                      <w:rFonts w:hint="default" w:ascii="DejaVu Math TeX Gyre" w:hAnsi="DejaVu Math TeX Gyre"/>
                    </w:rPr>
                    <m:t>P</m:t>
                  </m:r>
                  <m:ctrlPr>
                    <w:rPr>
                      <w:rFonts w:ascii="DejaVu Math TeX Gyre" w:hAnsi="DejaVu Math TeX Gyre"/>
                      <w:b/>
                      <w:bCs/>
                      <w:i/>
                      <w:iCs/>
                    </w:rPr>
                  </m:ctrlPr>
                </m:e>
                <m:sub>
                  <m:r>
                    <m:rPr>
                      <m:sty m:val="bi"/>
                    </m:rPr>
                    <w:rPr>
                      <w:rFonts w:hint="default" w:ascii="DejaVu Math TeX Gyre" w:hAnsi="DejaVu Math TeX Gyre"/>
                    </w:rPr>
                    <m:t>BS,DL(full)</m:t>
                  </m:r>
                  <m:ctrlPr>
                    <w:rPr>
                      <w:rFonts w:ascii="DejaVu Math TeX Gyre" w:hAnsi="DejaVu Math TeX Gyre"/>
                      <w:b/>
                      <w:bCs/>
                      <w:i/>
                      <w:iCs/>
                    </w:rPr>
                  </m:ctrlPr>
                </m:sub>
              </m:sSub>
              <m:r>
                <m:rPr>
                  <m:sty m:val="bi"/>
                </m:rPr>
                <w:rPr>
                  <w:rFonts w:ascii="DejaVu Math TeX Gyre" w:hAnsi="DejaVu Math TeX Gyre"/>
                </w:rPr>
                <m:t>−</m:t>
              </m:r>
              <m:sSub>
                <m:sSubPr>
                  <m:ctrlPr>
                    <w:rPr>
                      <w:rFonts w:ascii="DejaVu Math TeX Gyre" w:hAnsi="DejaVu Math TeX Gyre"/>
                      <w:b/>
                      <w:bCs/>
                      <w:i/>
                      <w:iCs/>
                    </w:rPr>
                  </m:ctrlPr>
                </m:sSubPr>
                <m:e>
                  <m:r>
                    <m:rPr>
                      <m:sty m:val="bi"/>
                    </m:rPr>
                    <w:rPr>
                      <w:rFonts w:hint="default" w:ascii="DejaVu Math TeX Gyre" w:hAnsi="DejaVu Math TeX Gyre"/>
                    </w:rPr>
                    <m:t>P</m:t>
                  </m:r>
                  <m:ctrlPr>
                    <w:rPr>
                      <w:rFonts w:ascii="DejaVu Math TeX Gyre" w:hAnsi="DejaVu Math TeX Gyre"/>
                      <w:b/>
                      <w:bCs/>
                      <w:i/>
                      <w:iCs/>
                    </w:rPr>
                  </m:ctrlPr>
                </m:e>
                <m:sub>
                  <m:r>
                    <m:rPr>
                      <m:sty m:val="bi"/>
                    </m:rPr>
                    <w:rPr>
                      <w:rFonts w:hint="default" w:ascii="DejaVu Math TeX Gyre" w:hAnsi="DejaVu Math TeX Gyre"/>
                    </w:rPr>
                    <m:t>BS,deep</m:t>
                  </m:r>
                  <m:ctrlPr>
                    <w:rPr>
                      <w:rFonts w:ascii="DejaVu Math TeX Gyre" w:hAnsi="DejaVu Math TeX Gyre"/>
                      <w:b/>
                      <w:bCs/>
                      <w:i/>
                      <w:iCs/>
                    </w:rPr>
                  </m:ctrlPr>
                </m:sub>
              </m:sSub>
              <m:ctrlPr>
                <w:rPr>
                  <w:rFonts w:ascii="DejaVu Math TeX Gyre" w:hAnsi="DejaVu Math TeX Gyre"/>
                  <w:b/>
                  <w:bCs/>
                  <w:i/>
                  <w:iCs/>
                </w:rPr>
              </m:ctrlPr>
            </m:e>
          </m:d>
          <m:r>
            <m:rPr>
              <m:sty m:val="bi"/>
            </m:rPr>
            <w:rPr>
              <w:rFonts w:ascii="DejaVu Math TeX Gyre" w:hAnsi="DejaVu Math TeX Gyre"/>
            </w:rPr>
            <m:t> </m:t>
          </m:r>
          <m:d>
            <m:dPr>
              <m:ctrlPr>
                <w:rPr>
                  <w:rFonts w:ascii="DejaVu Math TeX Gyre" w:hAnsi="DejaVu Math TeX Gyre"/>
                  <w:b/>
                  <w:bCs/>
                  <w:i/>
                  <w:iCs/>
                </w:rPr>
              </m:ctrlPr>
            </m:dPr>
            <m:e>
              <m:sSub>
                <m:sSubPr>
                  <m:ctrlPr>
                    <w:rPr>
                      <w:rFonts w:ascii="DejaVu Math TeX Gyre" w:hAnsi="DejaVu Math TeX Gyre"/>
                      <w:b/>
                      <w:bCs/>
                      <w:i/>
                      <w:iCs/>
                      <w:color w:val="FF0000"/>
                    </w:rPr>
                  </m:ctrlPr>
                </m:sSubPr>
                <m:e>
                  <m:r>
                    <m:rPr>
                      <m:sty m:val="bi"/>
                    </m:rPr>
                    <w:rPr>
                      <w:rFonts w:hint="default" w:ascii="DejaVu Math TeX Gyre" w:hAnsi="DejaVu Math TeX Gyre"/>
                      <w:color w:val="FF0000"/>
                    </w:rPr>
                    <m:t>α</m:t>
                  </m:r>
                  <m:ctrlPr>
                    <w:rPr>
                      <w:rFonts w:ascii="DejaVu Math TeX Gyre" w:hAnsi="DejaVu Math TeX Gyre"/>
                      <w:b/>
                      <w:bCs/>
                      <w:i/>
                      <w:iCs/>
                      <w:color w:val="FF0000"/>
                    </w:rPr>
                  </m:ctrlPr>
                </m:e>
                <m:sub>
                  <m:r>
                    <m:rPr>
                      <m:sty m:val="bi"/>
                    </m:rPr>
                    <w:rPr>
                      <w:rFonts w:hint="default" w:ascii="DejaVu Math TeX Gyre" w:hAnsi="DejaVu Math TeX Gyre"/>
                      <w:color w:val="FF0000"/>
                    </w:rPr>
                    <m:t>t</m:t>
                  </m:r>
                  <m:ctrlPr>
                    <w:rPr>
                      <w:rFonts w:ascii="DejaVu Math TeX Gyre" w:hAnsi="DejaVu Math TeX Gyre"/>
                      <w:b/>
                      <w:bCs/>
                      <w:i/>
                      <w:iCs/>
                      <w:color w:val="FF0000"/>
                    </w:rPr>
                  </m:ctrlPr>
                </m:sub>
              </m:sSub>
              <m:r>
                <m:rPr>
                  <m:sty m:val="bi"/>
                </m:rPr>
                <w:rPr>
                  <w:rFonts w:ascii="DejaVu Math TeX Gyre" w:hAnsi="DejaVu Math TeX Gyre"/>
                </w:rPr>
                <m:t>⋅</m:t>
              </m:r>
              <m:sSub>
                <m:sSubPr>
                  <m:ctrlPr>
                    <w:rPr>
                      <w:rFonts w:ascii="DejaVu Math TeX Gyre" w:hAnsi="DejaVu Math TeX Gyre"/>
                      <w:b/>
                      <w:bCs/>
                      <w:i/>
                      <w:iCs/>
                    </w:rPr>
                  </m:ctrlPr>
                </m:sSubPr>
                <m:e>
                  <m:r>
                    <m:rPr>
                      <m:sty m:val="bi"/>
                    </m:rPr>
                    <w:rPr>
                      <w:rFonts w:hint="default" w:ascii="DejaVu Math TeX Gyre" w:hAnsi="DejaVu Math TeX Gyre"/>
                    </w:rPr>
                    <m:t>α</m:t>
                  </m:r>
                  <m:ctrlPr>
                    <w:rPr>
                      <w:rFonts w:ascii="DejaVu Math TeX Gyre" w:hAnsi="DejaVu Math TeX Gyre"/>
                      <w:b/>
                      <w:bCs/>
                      <w:i/>
                      <w:iCs/>
                    </w:rPr>
                  </m:ctrlPr>
                </m:e>
                <m:sub>
                  <m:r>
                    <m:rPr>
                      <m:sty m:val="bi"/>
                    </m:rPr>
                    <w:rPr>
                      <w:rFonts w:hint="default" w:ascii="DejaVu Math TeX Gyre" w:hAnsi="DejaVu Math TeX Gyre"/>
                    </w:rPr>
                    <m:t>f</m:t>
                  </m:r>
                  <m:ctrlPr>
                    <w:rPr>
                      <w:rFonts w:ascii="DejaVu Math TeX Gyre" w:hAnsi="DejaVu Math TeX Gyre"/>
                      <w:b/>
                      <w:bCs/>
                      <w:i/>
                      <w:iCs/>
                    </w:rPr>
                  </m:ctrlPr>
                </m:sub>
              </m:sSub>
              <m:r>
                <m:rPr>
                  <m:sty m:val="bi"/>
                </m:rPr>
                <w:rPr>
                  <w:rFonts w:ascii="DejaVu Math TeX Gyre" w:hAnsi="DejaVu Math TeX Gyre"/>
                </w:rPr>
                <m:t>⋅</m:t>
              </m:r>
              <m:sSub>
                <m:sSubPr>
                  <m:ctrlPr>
                    <w:rPr>
                      <w:rFonts w:ascii="DejaVu Math TeX Gyre" w:hAnsi="DejaVu Math TeX Gyre"/>
                      <w:b/>
                      <w:bCs/>
                      <w:i/>
                      <w:iCs/>
                    </w:rPr>
                  </m:ctrlPr>
                </m:sSubPr>
                <m:e>
                  <m:r>
                    <m:rPr>
                      <m:sty m:val="bi"/>
                    </m:rPr>
                    <w:rPr>
                      <w:rFonts w:hint="default" w:ascii="DejaVu Math TeX Gyre" w:hAnsi="DejaVu Math TeX Gyre"/>
                    </w:rPr>
                    <m:t>α</m:t>
                  </m:r>
                  <m:ctrlPr>
                    <w:rPr>
                      <w:rFonts w:ascii="DejaVu Math TeX Gyre" w:hAnsi="DejaVu Math TeX Gyre"/>
                      <w:b/>
                      <w:bCs/>
                      <w:i/>
                      <w:iCs/>
                    </w:rPr>
                  </m:ctrlPr>
                </m:e>
                <m:sub>
                  <m:r>
                    <m:rPr>
                      <m:sty m:val="bi"/>
                    </m:rPr>
                    <w:rPr>
                      <w:rFonts w:hint="default" w:ascii="DejaVu Math TeX Gyre" w:hAnsi="DejaVu Math TeX Gyre"/>
                    </w:rPr>
                    <m:t>a</m:t>
                  </m:r>
                  <m:ctrlPr>
                    <w:rPr>
                      <w:rFonts w:ascii="DejaVu Math TeX Gyre" w:hAnsi="DejaVu Math TeX Gyre"/>
                      <w:b/>
                      <w:bCs/>
                      <w:i/>
                      <w:iCs/>
                    </w:rPr>
                  </m:ctrlPr>
                </m:sub>
              </m:sSub>
              <m:r>
                <m:rPr>
                  <m:sty m:val="bi"/>
                </m:rPr>
                <w:rPr>
                  <w:rFonts w:ascii="DejaVu Math TeX Gyre" w:hAnsi="DejaVu Math TeX Gyre"/>
                </w:rPr>
                <m:t>⋅</m:t>
              </m:r>
              <m:sSub>
                <m:sSubPr>
                  <m:ctrlPr>
                    <w:rPr>
                      <w:rFonts w:ascii="DejaVu Math TeX Gyre" w:hAnsi="DejaVu Math TeX Gyre"/>
                      <w:b/>
                      <w:bCs/>
                      <w:i/>
                      <w:iCs/>
                    </w:rPr>
                  </m:ctrlPr>
                </m:sSubPr>
                <m:e>
                  <m:r>
                    <m:rPr>
                      <m:sty m:val="bi"/>
                    </m:rPr>
                    <w:rPr>
                      <w:rFonts w:hint="default" w:ascii="DejaVu Math TeX Gyre" w:hAnsi="DejaVu Math TeX Gyre"/>
                    </w:rPr>
                    <m:t>α</m:t>
                  </m:r>
                  <m:ctrlPr>
                    <w:rPr>
                      <w:rFonts w:ascii="DejaVu Math TeX Gyre" w:hAnsi="DejaVu Math TeX Gyre"/>
                      <w:b/>
                      <w:bCs/>
                      <w:i/>
                      <w:iCs/>
                    </w:rPr>
                  </m:ctrlPr>
                </m:e>
                <m:sub>
                  <m:r>
                    <m:rPr>
                      <m:sty m:val="bi"/>
                    </m:rPr>
                    <w:rPr>
                      <w:rFonts w:hint="default" w:ascii="DejaVu Math TeX Gyre" w:hAnsi="DejaVu Math TeX Gyre"/>
                    </w:rPr>
                    <m:t>p</m:t>
                  </m:r>
                  <m:ctrlPr>
                    <w:rPr>
                      <w:rFonts w:ascii="DejaVu Math TeX Gyre" w:hAnsi="DejaVu Math TeX Gyre"/>
                      <w:b/>
                      <w:bCs/>
                      <w:i/>
                      <w:iCs/>
                    </w:rPr>
                  </m:ctrlPr>
                </m:sub>
              </m:sSub>
              <m:ctrlPr>
                <w:rPr>
                  <w:rFonts w:ascii="DejaVu Math TeX Gyre" w:hAnsi="DejaVu Math TeX Gyre"/>
                  <w:b/>
                  <w:bCs/>
                  <w:i/>
                  <w:iCs/>
                </w:rPr>
              </m:ctrlPr>
            </m:e>
          </m:d>
          <m:r>
            <m:rPr>
              <m:sty m:val="bi"/>
            </m:rPr>
            <w:rPr>
              <w:rFonts w:ascii="DejaVu Math TeX Gyre" w:hAnsi="DejaVu Math TeX Gyre"/>
            </w:rPr>
            <m:t> .</m:t>
          </m:r>
        </m:oMath>
      </m:oMathPara>
    </w:p>
    <w:p w14:paraId="06CC9D23">
      <w:pPr>
        <w:pStyle w:val="5"/>
        <w:rPr>
          <w:b/>
          <w:bCs/>
          <w:i/>
          <w:iCs/>
        </w:rPr>
      </w:pPr>
      <w:r>
        <w:rPr>
          <w:b/>
          <w:bCs/>
          <w:i/>
          <w:iCs/>
        </w:rPr>
        <w:t xml:space="preserve">and </w:t>
      </w:r>
      <m:oMath>
        <m:sSub>
          <m:sSubPr>
            <m:ctrlPr>
              <w:rPr>
                <w:rFonts w:ascii="DejaVu Math TeX Gyre" w:hAnsi="DejaVu Math TeX Gyre"/>
                <w:b/>
                <w:bCs/>
                <w:i/>
                <w:iCs/>
              </w:rPr>
            </m:ctrlPr>
          </m:sSubPr>
          <m:e>
            <m:r>
              <m:rPr>
                <m:sty m:val="bi"/>
              </m:rPr>
              <w:rPr>
                <w:rFonts w:hint="default" w:ascii="DejaVu Math TeX Gyre" w:hAnsi="DejaVu Math TeX Gyre"/>
              </w:rPr>
              <m:t>P</m:t>
            </m:r>
            <m:ctrlPr>
              <w:rPr>
                <w:rFonts w:ascii="DejaVu Math TeX Gyre" w:hAnsi="DejaVu Math TeX Gyre"/>
                <w:b/>
                <w:bCs/>
                <w:i/>
                <w:iCs/>
              </w:rPr>
            </m:ctrlPr>
          </m:e>
          <m:sub>
            <m:r>
              <m:rPr>
                <m:sty m:val="bi"/>
              </m:rPr>
              <w:rPr>
                <w:rFonts w:hint="default" w:ascii="DejaVu Math TeX Gyre" w:hAnsi="DejaVu Math TeX Gyre"/>
              </w:rPr>
              <m:t>BS,deep</m:t>
            </m:r>
            <m:ctrlPr>
              <w:rPr>
                <w:rFonts w:ascii="DejaVu Math TeX Gyre" w:hAnsi="DejaVu Math TeX Gyre"/>
                <w:b/>
                <w:bCs/>
                <w:i/>
                <w:iCs/>
              </w:rPr>
            </m:ctrlPr>
          </m:sub>
        </m:sSub>
      </m:oMath>
      <w:r>
        <w:rPr>
          <w:b/>
          <w:bCs/>
          <w:i/>
          <w:iCs/>
        </w:rPr>
        <w:t xml:space="preserve"> be the baseline power in deep sleep. </w:t>
      </w:r>
    </w:p>
    <w:p w14:paraId="1051DC88">
      <w:pPr>
        <w:pStyle w:val="49"/>
        <w:rPr>
          <w:b/>
          <w:bCs/>
          <w:i/>
          <w:iCs/>
          <w:lang w:eastAsia="ko-KR"/>
        </w:rPr>
      </w:pPr>
      <w:r>
        <w:rPr>
          <w:b/>
          <w:bCs/>
          <w:i/>
          <w:iCs/>
          <w:lang w:eastAsia="zh-CN"/>
        </w:rPr>
        <w:t>-</w:t>
      </w:r>
      <w:r>
        <w:rPr>
          <w:b/>
          <w:bCs/>
          <w:i/>
          <w:iCs/>
          <w:lang w:eastAsia="zh-CN"/>
        </w:rPr>
        <w:tab/>
      </w:r>
      <w:r>
        <w:rPr>
          <w:b/>
          <w:bCs/>
          <w:i/>
          <w:iCs/>
          <w:lang w:eastAsia="zh-CN"/>
        </w:rPr>
        <w:t xml:space="preserve">Baseline: </w:t>
      </w:r>
      <m:oMath>
        <m:sSub>
          <m:sSubPr>
            <m:ctrlPr>
              <w:rPr>
                <w:rFonts w:ascii="DejaVu Math TeX Gyre" w:hAnsi="DejaVu Math TeX Gyre"/>
                <w:b/>
                <w:bCs/>
                <w:i/>
                <w:iCs/>
              </w:rPr>
            </m:ctrlPr>
          </m:sSubPr>
          <m:e>
            <m:r>
              <m:rPr>
                <m:sty m:val="bi"/>
              </m:rPr>
              <w:rPr>
                <w:rFonts w:hint="default" w:ascii="DejaVu Math TeX Gyre" w:hAnsi="DejaVu Math TeX Gyre"/>
              </w:rPr>
              <m:t>P</m:t>
            </m:r>
            <m:ctrlPr>
              <w:rPr>
                <w:rFonts w:ascii="DejaVu Math TeX Gyre" w:hAnsi="DejaVu Math TeX Gyre"/>
                <w:b/>
                <w:bCs/>
                <w:i/>
                <w:iCs/>
              </w:rPr>
            </m:ctrlPr>
          </m:e>
          <m:sub>
            <m:r>
              <m:rPr>
                <m:sty m:val="bi"/>
              </m:rPr>
              <w:rPr>
                <w:rFonts w:hint="default" w:ascii="DejaVu Math TeX Gyre" w:hAnsi="DejaVu Math TeX Gyre"/>
              </w:rPr>
              <m:t>BS,deep</m:t>
            </m:r>
            <m:ctrlPr>
              <w:rPr>
                <w:rFonts w:ascii="DejaVu Math TeX Gyre" w:hAnsi="DejaVu Math TeX Gyre"/>
                <w:b/>
                <w:bCs/>
                <w:i/>
                <w:iCs/>
              </w:rPr>
            </m:ctrlPr>
          </m:sub>
        </m:sSub>
        <m:r>
          <m:rPr>
            <m:sty m:val="bi"/>
          </m:rPr>
          <w:rPr>
            <w:rFonts w:ascii="DejaVu Math TeX Gyre" w:hAnsi="DejaVu Math TeX Gyre"/>
            <w:lang w:eastAsia="zh-CN"/>
          </w:rPr>
          <m:t>=</m:t>
        </m:r>
        <m:sSub>
          <m:sSubPr>
            <m:ctrlPr>
              <w:rPr>
                <w:rFonts w:ascii="DejaVu Math TeX Gyre" w:hAnsi="DejaVu Math TeX Gyre"/>
                <w:b/>
                <w:bCs/>
                <w:i/>
                <w:iCs/>
              </w:rPr>
            </m:ctrlPr>
          </m:sSubPr>
          <m:e>
            <m:r>
              <m:rPr>
                <m:sty m:val="bi"/>
              </m:rPr>
              <w:rPr>
                <w:rFonts w:hint="default" w:ascii="DejaVu Math TeX Gyre" w:hAnsi="DejaVu Math TeX Gyre"/>
                <w:lang w:eastAsia="zh-CN"/>
              </w:rPr>
              <m:t>P</m:t>
            </m:r>
            <m:ctrlPr>
              <w:rPr>
                <w:rFonts w:ascii="DejaVu Math TeX Gyre" w:hAnsi="DejaVu Math TeX Gyre"/>
                <w:b/>
                <w:bCs/>
                <w:i/>
                <w:iCs/>
              </w:rPr>
            </m:ctrlPr>
          </m:e>
          <m:sub>
            <m:r>
              <m:rPr>
                <m:sty m:val="bi"/>
              </m:rPr>
              <w:rPr>
                <w:rFonts w:hint="default" w:ascii="DejaVu Math TeX Gyre" w:hAnsi="DejaVu Math TeX Gyre"/>
                <w:lang w:eastAsia="zh-CN"/>
              </w:rPr>
              <m:t>3</m:t>
            </m:r>
            <m:ctrlPr>
              <w:rPr>
                <w:rFonts w:ascii="DejaVu Math TeX Gyre" w:hAnsi="DejaVu Math TeX Gyre"/>
                <w:b/>
                <w:bCs/>
                <w:i/>
                <w:iCs/>
              </w:rPr>
            </m:ctrlPr>
          </m:sub>
        </m:sSub>
      </m:oMath>
    </w:p>
    <w:p w14:paraId="35DE632F">
      <w:pPr>
        <w:pStyle w:val="49"/>
        <w:rPr>
          <w:rFonts w:hAnsi="DejaVu Math TeX Gyre"/>
          <w:b/>
          <w:bCs/>
          <w:i/>
          <w:iCs/>
        </w:rPr>
      </w:pPr>
      <w:r>
        <w:rPr>
          <w:b/>
          <w:bCs/>
          <w:i/>
          <w:iCs/>
          <w:lang w:eastAsia="zh-CN"/>
        </w:rPr>
        <w:t>-</w:t>
      </w:r>
      <w:r>
        <w:rPr>
          <w:b/>
          <w:bCs/>
          <w:i/>
          <w:iCs/>
          <w:lang w:eastAsia="zh-CN"/>
        </w:rPr>
        <w:tab/>
      </w:r>
      <w:r>
        <w:rPr>
          <w:b/>
          <w:bCs/>
          <w:i/>
          <w:iCs/>
          <w:lang w:eastAsia="zh-CN"/>
        </w:rPr>
        <w:t xml:space="preserve">Optional: </w:t>
      </w:r>
      <m:oMath>
        <m:sSub>
          <m:sSubPr>
            <m:ctrlPr>
              <w:rPr>
                <w:rFonts w:ascii="DejaVu Math TeX Gyre" w:hAnsi="DejaVu Math TeX Gyre"/>
                <w:b/>
                <w:bCs/>
                <w:i/>
                <w:iCs/>
              </w:rPr>
            </m:ctrlPr>
          </m:sSubPr>
          <m:e>
            <m:r>
              <m:rPr>
                <m:sty m:val="bi"/>
              </m:rPr>
              <w:rPr>
                <w:rFonts w:hint="default" w:ascii="DejaVu Math TeX Gyre" w:hAnsi="DejaVu Math TeX Gyre"/>
              </w:rPr>
              <m:t>P</m:t>
            </m:r>
            <m:ctrlPr>
              <w:rPr>
                <w:rFonts w:ascii="DejaVu Math TeX Gyre" w:hAnsi="DejaVu Math TeX Gyre"/>
                <w:b/>
                <w:bCs/>
                <w:i/>
                <w:iCs/>
              </w:rPr>
            </m:ctrlPr>
          </m:e>
          <m:sub>
            <m:r>
              <m:rPr>
                <m:sty m:val="bi"/>
              </m:rPr>
              <w:rPr>
                <w:rFonts w:hint="default" w:ascii="DejaVu Math TeX Gyre" w:hAnsi="DejaVu Math TeX Gyre"/>
              </w:rPr>
              <m:t>BS,deep</m:t>
            </m:r>
            <m:ctrlPr>
              <w:rPr>
                <w:rFonts w:ascii="DejaVu Math TeX Gyre" w:hAnsi="DejaVu Math TeX Gyre"/>
                <w:b/>
                <w:bCs/>
                <w:i/>
                <w:iCs/>
              </w:rPr>
            </m:ctrlPr>
          </m:sub>
        </m:sSub>
        <m:r>
          <m:rPr>
            <m:sty m:val="bi"/>
          </m:rPr>
          <w:rPr>
            <w:rFonts w:ascii="DejaVu Math TeX Gyre" w:hAnsi="DejaVu Math TeX Gyre"/>
            <w:lang w:eastAsia="zh-CN"/>
          </w:rPr>
          <m:t>=</m:t>
        </m:r>
        <m:r>
          <m:rPr>
            <m:sty m:val="bi"/>
          </m:rPr>
          <w:rPr>
            <w:rFonts w:hint="default" w:ascii="DejaVu Math TeX Gyre" w:hAnsi="DejaVu Math TeX Gyre"/>
            <w:color w:val="FF0000"/>
            <w:lang w:val="en-US" w:eastAsia="zh-CN"/>
          </w:rPr>
          <m:t>[</m:t>
        </m:r>
        <m:r>
          <m:rPr>
            <m:sty m:val="bi"/>
          </m:rPr>
          <w:rPr>
            <w:rFonts w:hint="default" w:ascii="DejaVu Math TeX Gyre" w:hAnsi="DejaVu Math TeX Gyre"/>
            <w:color w:val="FF0000"/>
            <w:lang w:eastAsia="zh-CN"/>
          </w:rPr>
          <m:t>1.5</m:t>
        </m:r>
        <m:r>
          <m:rPr>
            <m:sty m:val="bi"/>
          </m:rPr>
          <w:rPr>
            <w:rFonts w:hint="default" w:ascii="DejaVu Math TeX Gyre" w:hAnsi="DejaVu Math TeX Gyre"/>
            <w:color w:val="FF0000"/>
            <w:lang w:val="en-US" w:eastAsia="zh-CN"/>
          </w:rPr>
          <m:t>]</m:t>
        </m:r>
        <m:r>
          <m:rPr>
            <m:sty m:val="bi"/>
          </m:rPr>
          <w:rPr>
            <w:rFonts w:ascii="DejaVu Math TeX Gyre" w:hAnsi="DejaVu Math TeX Gyre"/>
            <w:lang w:eastAsia="zh-CN"/>
          </w:rPr>
          <m:t>∗</m:t>
        </m:r>
        <m:sSub>
          <m:sSubPr>
            <m:ctrlPr>
              <w:rPr>
                <w:rFonts w:ascii="DejaVu Math TeX Gyre" w:hAnsi="DejaVu Math TeX Gyre"/>
                <w:b/>
                <w:bCs/>
                <w:i/>
                <w:iCs/>
              </w:rPr>
            </m:ctrlPr>
          </m:sSubPr>
          <m:e>
            <m:r>
              <m:rPr>
                <m:sty m:val="bi"/>
              </m:rPr>
              <w:rPr>
                <w:rFonts w:hint="default" w:ascii="DejaVu Math TeX Gyre" w:hAnsi="DejaVu Math TeX Gyre"/>
                <w:lang w:eastAsia="zh-CN"/>
              </w:rPr>
              <m:t>P</m:t>
            </m:r>
            <m:ctrlPr>
              <w:rPr>
                <w:rFonts w:ascii="DejaVu Math TeX Gyre" w:hAnsi="DejaVu Math TeX Gyre"/>
                <w:b/>
                <w:bCs/>
                <w:i/>
                <w:iCs/>
              </w:rPr>
            </m:ctrlPr>
          </m:e>
          <m:sub>
            <m:r>
              <m:rPr>
                <m:sty m:val="bi"/>
              </m:rPr>
              <w:rPr>
                <w:rFonts w:hint="default" w:ascii="DejaVu Math TeX Gyre" w:hAnsi="DejaVu Math TeX Gyre"/>
                <w:lang w:eastAsia="zh-CN"/>
              </w:rPr>
              <m:t>3</m:t>
            </m:r>
            <m:ctrlPr>
              <w:rPr>
                <w:rFonts w:ascii="DejaVu Math TeX Gyre" w:hAnsi="DejaVu Math TeX Gyre"/>
                <w:b/>
                <w:bCs/>
                <w:i/>
                <w:iCs/>
              </w:rPr>
            </m:ctrlPr>
          </m:sub>
        </m:sSub>
      </m:oMath>
    </w:p>
    <w:p w14:paraId="227D208E">
      <w:pPr>
        <w:pStyle w:val="49"/>
        <w:rPr>
          <w:rFonts w:hAnsi="DejaVu Math TeX Gyre"/>
          <w:b/>
          <w:bCs/>
          <w:i/>
          <w:iCs/>
        </w:rPr>
      </w:pPr>
    </w:p>
    <w:p w14:paraId="0B86BAC1">
      <w:pPr>
        <w:pStyle w:val="85"/>
        <w:rPr>
          <w:rFonts w:hint="default" w:ascii="Times New Roman Bold Italic" w:hAnsi="Times New Roman Bold Italic" w:eastAsia="宋体" w:cs="Times New Roman Bold Italic"/>
          <w:b/>
          <w:bCs/>
          <w:i/>
          <w:iCs/>
          <w:sz w:val="22"/>
          <w:szCs w:val="22"/>
          <w:lang w:val="en-US" w:eastAsia="zh-CN"/>
        </w:rPr>
      </w:pPr>
      <w:r>
        <w:rPr>
          <w:rFonts w:hint="default" w:ascii="Times New Roman Bold Italic" w:hAnsi="Times New Roman Bold Italic" w:cs="Times New Roman Bold Italic"/>
          <w:b/>
          <w:bCs/>
          <w:i/>
          <w:iCs/>
          <w:sz w:val="22"/>
          <w:szCs w:val="22"/>
          <w:lang w:val="en-US" w:eastAsia="zh-CN"/>
        </w:rPr>
        <w:t>Observation 13: No need to correct the BS power consumption model for active UL transmission.</w:t>
      </w:r>
    </w:p>
    <w:p w14:paraId="22F55B30">
      <w:pPr>
        <w:numPr>
          <w:ilvl w:val="0"/>
          <w:numId w:val="0"/>
        </w:numPr>
        <w:outlineLvl w:val="9"/>
        <w:rPr>
          <w:rFonts w:hint="eastAsia" w:ascii="Times New Roman Bold Italic" w:hAnsi="Times New Roman Bold Italic" w:eastAsia="等线" w:cs="Times New Roman Bold Italic"/>
          <w:b/>
          <w:bCs/>
          <w:i/>
          <w:iCs/>
          <w:highlight w:val="yellow"/>
          <w:u w:val="single"/>
          <w:lang w:val="en-US" w:eastAsia="zh-CN"/>
        </w:rPr>
      </w:pPr>
    </w:p>
    <w:p w14:paraId="6FD5D14F">
      <w:pPr>
        <w:numPr>
          <w:ilvl w:val="0"/>
          <w:numId w:val="0"/>
        </w:numPr>
        <w:outlineLvl w:val="9"/>
        <w:rPr>
          <w:rFonts w:hint="eastAsia" w:ascii="Times New Roman Bold Italic" w:hAnsi="Times New Roman Bold Italic" w:eastAsia="等线" w:cs="Times New Roman Bold Italic"/>
          <w:b/>
          <w:bCs/>
          <w:i/>
          <w:iCs/>
          <w:highlight w:val="yellow"/>
          <w:u w:val="single"/>
          <w:lang w:val="en-US" w:eastAsia="zh-CN"/>
        </w:rPr>
      </w:pPr>
    </w:p>
    <w:p w14:paraId="5C540A60">
      <w:pPr>
        <w:pStyle w:val="5"/>
        <w:rPr>
          <w:rFonts w:hint="default" w:ascii="Times New Roman Bold Italic" w:hAnsi="Times New Roman Bold Italic" w:eastAsia="宋体" w:cs="Times New Roman Bold Italic"/>
          <w:b/>
          <w:bCs/>
          <w:i/>
          <w:iCs/>
          <w:sz w:val="22"/>
          <w:szCs w:val="22"/>
          <w:lang w:val="en-US" w:eastAsia="zh-CN"/>
        </w:rPr>
      </w:pPr>
      <w:r>
        <w:rPr>
          <w:rFonts w:hint="default" w:ascii="Times New Roman Bold Italic" w:hAnsi="Times New Roman Bold Italic" w:eastAsia="宋体" w:cs="Times New Roman Bold Italic"/>
          <w:b/>
          <w:bCs/>
          <w:i/>
          <w:iCs/>
          <w:sz w:val="22"/>
          <w:szCs w:val="22"/>
          <w:lang w:val="en-US" w:eastAsia="zh-CN"/>
        </w:rPr>
        <w:t xml:space="preserve">Proposal </w:t>
      </w:r>
      <w:r>
        <w:rPr>
          <w:rFonts w:hint="default" w:ascii="Times New Roman Bold Italic" w:hAnsi="Times New Roman Bold Italic" w:cs="Times New Roman Bold Italic"/>
          <w:b/>
          <w:bCs/>
          <w:i/>
          <w:iCs/>
          <w:sz w:val="22"/>
          <w:szCs w:val="22"/>
          <w:lang w:val="en-US" w:eastAsia="zh-CN"/>
        </w:rPr>
        <w:t>8</w:t>
      </w:r>
      <w:r>
        <w:rPr>
          <w:rFonts w:hint="default" w:ascii="Times New Roman Bold Italic" w:hAnsi="Times New Roman Bold Italic" w:eastAsia="宋体" w:cs="Times New Roman Bold Italic"/>
          <w:b/>
          <w:bCs/>
          <w:i/>
          <w:iCs/>
          <w:sz w:val="22"/>
          <w:szCs w:val="22"/>
          <w:lang w:val="en-US" w:eastAsia="zh-CN"/>
        </w:rPr>
        <w:t>: Capture following Set 4 parameters into TR for further study or evaluation in 6GR.</w:t>
      </w:r>
    </w:p>
    <w:p w14:paraId="1EC8F478">
      <w:pPr>
        <w:pStyle w:val="5"/>
        <w:jc w:val="center"/>
      </w:pPr>
      <w:r>
        <w:rPr>
          <w:i/>
          <w:iCs/>
        </w:rPr>
        <w:t xml:space="preserve">Table </w:t>
      </w:r>
      <w:r>
        <w:rPr>
          <w:rFonts w:hint="default"/>
          <w:i/>
          <w:iCs/>
          <w:lang w:val="en-US"/>
        </w:rPr>
        <w:t>1-1</w:t>
      </w:r>
      <w:r>
        <w:rPr>
          <w:i/>
          <w:iCs/>
        </w:rPr>
        <w:t>: BS Reference Configurations</w:t>
      </w:r>
      <w:r>
        <w:rPr>
          <w:rFonts w:hint="eastAsia"/>
          <w:i/>
          <w:iCs/>
          <w:lang w:val="en-US" w:eastAsia="zh-CN"/>
        </w:rPr>
        <w:t xml:space="preserve"> based</w:t>
      </w:r>
      <w:r>
        <w:rPr>
          <w:rFonts w:hint="default"/>
          <w:i/>
          <w:iCs/>
          <w:lang w:val="en-US" w:eastAsia="zh-CN"/>
        </w:rPr>
        <w:t xml:space="preserve"> on TS 38.864 and [3]</w:t>
      </w:r>
      <w:r>
        <w:rPr>
          <w:i/>
          <w:iCs/>
        </w:rPr>
        <w:t>.</w:t>
      </w:r>
    </w:p>
    <w:tbl>
      <w:tblPr>
        <w:tblStyle w:val="27"/>
        <w:tblW w:w="9423" w:type="dxa"/>
        <w:tblInd w:w="108" w:type="dxa"/>
        <w:tblLayout w:type="autofit"/>
        <w:tblCellMar>
          <w:top w:w="0" w:type="dxa"/>
          <w:left w:w="0" w:type="dxa"/>
          <w:bottom w:w="0" w:type="dxa"/>
          <w:right w:w="0" w:type="dxa"/>
        </w:tblCellMar>
      </w:tblPr>
      <w:tblGrid>
        <w:gridCol w:w="2366"/>
        <w:gridCol w:w="1720"/>
        <w:gridCol w:w="1729"/>
        <w:gridCol w:w="1685"/>
        <w:gridCol w:w="1923"/>
      </w:tblGrid>
      <w:tr w14:paraId="2442D7AB">
        <w:tc>
          <w:tcPr>
            <w:tcW w:w="2366"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14:paraId="5C582373">
            <w:pPr>
              <w:pStyle w:val="77"/>
              <w:rPr>
                <w:lang w:eastAsia="zh-CN"/>
              </w:rPr>
            </w:pPr>
          </w:p>
        </w:tc>
        <w:tc>
          <w:tcPr>
            <w:tcW w:w="172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14:paraId="45098BB4">
            <w:pPr>
              <w:pStyle w:val="77"/>
            </w:pPr>
            <w:r>
              <w:t>Set 1 FR1</w:t>
            </w:r>
          </w:p>
        </w:tc>
        <w:tc>
          <w:tcPr>
            <w:tcW w:w="1729"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14:paraId="2C3C645B">
            <w:pPr>
              <w:pStyle w:val="77"/>
            </w:pPr>
            <w:r>
              <w:t>Set 2 FR1</w:t>
            </w:r>
          </w:p>
        </w:tc>
        <w:tc>
          <w:tcPr>
            <w:tcW w:w="1685"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14:paraId="54939B4B">
            <w:pPr>
              <w:pStyle w:val="77"/>
            </w:pPr>
            <w:r>
              <w:t>Set 3 FR2</w:t>
            </w:r>
          </w:p>
        </w:tc>
        <w:tc>
          <w:tcPr>
            <w:tcW w:w="192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top"/>
          </w:tcPr>
          <w:p w14:paraId="6B95D464">
            <w:pPr>
              <w:keepNext/>
              <w:keepLines/>
              <w:widowControl w:val="0"/>
              <w:tabs>
                <w:tab w:val="left" w:pos="720"/>
              </w:tabs>
              <w:spacing w:line="256" w:lineRule="auto"/>
              <w:rPr>
                <w:rFonts w:hint="default" w:ascii="Times New Roman Regular" w:hAnsi="Times New Roman Regular" w:cs="Times New Roman Regular"/>
                <w:i w:val="0"/>
                <w:iCs w:val="0"/>
                <w:lang w:val="en-US"/>
              </w:rPr>
            </w:pPr>
            <w:r>
              <w:rPr>
                <w:rFonts w:hint="default" w:ascii="Times New Roman Regular" w:hAnsi="Times New Roman Regular" w:eastAsia="PMingLiU" w:cs="Times New Roman Regular"/>
                <w:b/>
                <w:bCs/>
                <w:i w:val="0"/>
                <w:iCs w:val="0"/>
                <w:color w:val="FF0000"/>
                <w:sz w:val="18"/>
                <w:szCs w:val="20"/>
                <w:lang w:val="en-US" w:eastAsia="zh-CN"/>
              </w:rPr>
              <w:t xml:space="preserve">Set 4 around 7 GHz </w:t>
            </w:r>
          </w:p>
        </w:tc>
      </w:tr>
      <w:tr w14:paraId="7224E532">
        <w:tc>
          <w:tcPr>
            <w:tcW w:w="2366"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14:paraId="02C0168B">
            <w:pPr>
              <w:pStyle w:val="76"/>
              <w:rPr>
                <w:rFonts w:hint="default" w:ascii="Times New Roman Regular" w:hAnsi="Times New Roman Regular" w:cs="Times New Roman Regular"/>
              </w:rPr>
            </w:pPr>
            <w:r>
              <w:rPr>
                <w:rFonts w:hint="default" w:ascii="Times New Roman Regular" w:hAnsi="Times New Roman Regular" w:cs="Times New Roman Regular"/>
              </w:rPr>
              <w:t>Duplex</w:t>
            </w:r>
          </w:p>
        </w:tc>
        <w:tc>
          <w:tcPr>
            <w:tcW w:w="1720"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2C35F964">
            <w:pPr>
              <w:pStyle w:val="76"/>
              <w:rPr>
                <w:rFonts w:hint="default" w:ascii="Times New Roman Regular" w:hAnsi="Times New Roman Regular" w:cs="Times New Roman Regular"/>
              </w:rPr>
            </w:pPr>
            <w:r>
              <w:rPr>
                <w:rFonts w:hint="default" w:ascii="Times New Roman Regular" w:hAnsi="Times New Roman Regular" w:cs="Times New Roman Regular"/>
              </w:rPr>
              <w:t>TDD</w:t>
            </w:r>
          </w:p>
        </w:tc>
        <w:tc>
          <w:tcPr>
            <w:tcW w:w="1729"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27E73634">
            <w:pPr>
              <w:pStyle w:val="76"/>
              <w:rPr>
                <w:rFonts w:hint="default" w:ascii="Times New Roman Regular" w:hAnsi="Times New Roman Regular" w:cs="Times New Roman Regular"/>
              </w:rPr>
            </w:pPr>
            <w:r>
              <w:rPr>
                <w:rFonts w:hint="default" w:ascii="Times New Roman Regular" w:hAnsi="Times New Roman Regular" w:cs="Times New Roman Regular"/>
              </w:rPr>
              <w:t>FDD</w:t>
            </w:r>
          </w:p>
        </w:tc>
        <w:tc>
          <w:tcPr>
            <w:tcW w:w="1685"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5B40D1CB">
            <w:pPr>
              <w:pStyle w:val="76"/>
              <w:rPr>
                <w:rFonts w:hint="default" w:ascii="Times New Roman Regular" w:hAnsi="Times New Roman Regular" w:cs="Times New Roman Regular"/>
              </w:rPr>
            </w:pPr>
            <w:r>
              <w:rPr>
                <w:rFonts w:hint="default" w:ascii="Times New Roman Regular" w:hAnsi="Times New Roman Regular" w:cs="Times New Roman Regular"/>
              </w:rPr>
              <w:t>TDD</w:t>
            </w:r>
          </w:p>
        </w:tc>
        <w:tc>
          <w:tcPr>
            <w:tcW w:w="1923"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top"/>
          </w:tcPr>
          <w:p w14:paraId="6AE899FC">
            <w:pPr>
              <w:keepNext/>
              <w:keepLines/>
              <w:widowControl w:val="0"/>
              <w:spacing w:line="256" w:lineRule="auto"/>
              <w:rPr>
                <w:rFonts w:hint="default" w:ascii="Times New Roman Regular" w:hAnsi="Times New Roman Regular" w:cs="Times New Roman Regular"/>
                <w:i w:val="0"/>
                <w:iCs w:val="0"/>
                <w:color w:val="FF0000"/>
              </w:rPr>
            </w:pPr>
            <w:r>
              <w:rPr>
                <w:rFonts w:hint="default" w:ascii="Times New Roman Regular" w:hAnsi="Times New Roman Regular" w:eastAsia="PMingLiU" w:cs="Times New Roman Regular"/>
                <w:i w:val="0"/>
                <w:iCs w:val="0"/>
                <w:color w:val="FF0000"/>
                <w:sz w:val="18"/>
                <w:szCs w:val="20"/>
                <w:lang w:val="zh-CN" w:eastAsia="zh-CN"/>
              </w:rPr>
              <w:t>TDD</w:t>
            </w:r>
          </w:p>
        </w:tc>
      </w:tr>
      <w:tr w14:paraId="47453ADF">
        <w:tc>
          <w:tcPr>
            <w:tcW w:w="2366"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14:paraId="4D6FB304">
            <w:pPr>
              <w:pStyle w:val="76"/>
              <w:rPr>
                <w:rFonts w:hint="default" w:ascii="Times New Roman Regular" w:hAnsi="Times New Roman Regular" w:cs="Times New Roman Regular"/>
              </w:rPr>
            </w:pPr>
            <w:r>
              <w:rPr>
                <w:rFonts w:hint="default" w:ascii="Times New Roman Regular" w:hAnsi="Times New Roman Regular" w:cs="Times New Roman Regular"/>
              </w:rPr>
              <w:t>System BW</w:t>
            </w:r>
          </w:p>
        </w:tc>
        <w:tc>
          <w:tcPr>
            <w:tcW w:w="1720"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06994DE3">
            <w:pPr>
              <w:pStyle w:val="76"/>
              <w:rPr>
                <w:rFonts w:hint="default" w:ascii="Times New Roman Regular" w:hAnsi="Times New Roman Regular" w:cs="Times New Roman Regular"/>
              </w:rPr>
            </w:pPr>
            <w:r>
              <w:rPr>
                <w:rFonts w:hint="default" w:ascii="Times New Roman Regular" w:hAnsi="Times New Roman Regular" w:cs="Times New Roman Regular"/>
              </w:rPr>
              <w:t>100 MHz</w:t>
            </w:r>
          </w:p>
        </w:tc>
        <w:tc>
          <w:tcPr>
            <w:tcW w:w="1729"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06AEFB0F">
            <w:pPr>
              <w:pStyle w:val="76"/>
              <w:rPr>
                <w:rFonts w:hint="default" w:ascii="Times New Roman Regular" w:hAnsi="Times New Roman Regular" w:cs="Times New Roman Regular"/>
              </w:rPr>
            </w:pPr>
            <w:r>
              <w:rPr>
                <w:rFonts w:hint="default" w:ascii="Times New Roman Regular" w:hAnsi="Times New Roman Regular" w:cs="Times New Roman Regular"/>
              </w:rPr>
              <w:t>20 MHz</w:t>
            </w:r>
          </w:p>
        </w:tc>
        <w:tc>
          <w:tcPr>
            <w:tcW w:w="1685"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0CA9957D">
            <w:pPr>
              <w:pStyle w:val="76"/>
              <w:rPr>
                <w:rFonts w:hint="default" w:ascii="Times New Roman Regular" w:hAnsi="Times New Roman Regular" w:cs="Times New Roman Regular"/>
              </w:rPr>
            </w:pPr>
            <w:r>
              <w:rPr>
                <w:rFonts w:hint="default" w:ascii="Times New Roman Regular" w:hAnsi="Times New Roman Regular" w:cs="Times New Roman Regular"/>
              </w:rPr>
              <w:t>100</w:t>
            </w:r>
            <w:r>
              <w:rPr>
                <w:rFonts w:hint="default" w:ascii="Times New Roman Regular" w:hAnsi="Times New Roman Regular" w:cs="Times New Roman Regular"/>
                <w:color w:val="FF0000"/>
              </w:rPr>
              <w:t xml:space="preserve"> </w:t>
            </w:r>
            <w:r>
              <w:rPr>
                <w:rFonts w:hint="default" w:ascii="Times New Roman Regular" w:hAnsi="Times New Roman Regular" w:cs="Times New Roman Regular"/>
              </w:rPr>
              <w:t>MHz</w:t>
            </w:r>
          </w:p>
        </w:tc>
        <w:tc>
          <w:tcPr>
            <w:tcW w:w="1923"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top"/>
          </w:tcPr>
          <w:p w14:paraId="784CD582">
            <w:pPr>
              <w:keepNext/>
              <w:keepLines/>
              <w:widowControl w:val="0"/>
              <w:spacing w:line="256" w:lineRule="auto"/>
              <w:rPr>
                <w:rFonts w:hint="default" w:ascii="Times New Roman Regular" w:hAnsi="Times New Roman Regular" w:cs="Times New Roman Regular"/>
                <w:i w:val="0"/>
                <w:iCs w:val="0"/>
                <w:color w:val="FF0000"/>
              </w:rPr>
            </w:pPr>
            <w:r>
              <w:rPr>
                <w:rFonts w:hint="default" w:ascii="Times New Roman Regular" w:hAnsi="Times New Roman Regular" w:eastAsia="PMingLiU" w:cs="Times New Roman Regular"/>
                <w:i w:val="0"/>
                <w:iCs w:val="0"/>
                <w:strike/>
                <w:dstrike w:val="0"/>
                <w:sz w:val="18"/>
                <w:szCs w:val="20"/>
                <w:lang w:val="en-US"/>
              </w:rPr>
              <w:t>[</w:t>
            </w:r>
            <w:r>
              <w:rPr>
                <w:rFonts w:hint="default" w:ascii="Times New Roman Regular" w:hAnsi="Times New Roman Regular" w:eastAsia="PMingLiU" w:cs="Times New Roman Regular"/>
                <w:i w:val="0"/>
                <w:iCs w:val="0"/>
                <w:strike/>
                <w:dstrike w:val="0"/>
                <w:sz w:val="18"/>
                <w:szCs w:val="20"/>
                <w:lang w:val="zh-CN" w:eastAsia="zh-CN"/>
              </w:rPr>
              <w:t>1</w:t>
            </w:r>
            <w:r>
              <w:rPr>
                <w:rFonts w:hint="default" w:ascii="Times New Roman Regular" w:hAnsi="Times New Roman Regular" w:eastAsia="PMingLiU" w:cs="Times New Roman Regular"/>
                <w:i w:val="0"/>
                <w:iCs w:val="0"/>
                <w:strike/>
                <w:dstrike w:val="0"/>
                <w:sz w:val="18"/>
                <w:szCs w:val="20"/>
                <w:lang w:val="en-US"/>
              </w:rPr>
              <w:t>0</w:t>
            </w:r>
            <w:r>
              <w:rPr>
                <w:rFonts w:hint="default" w:ascii="Times New Roman Regular" w:hAnsi="Times New Roman Regular" w:eastAsia="PMingLiU" w:cs="Times New Roman Regular"/>
                <w:i w:val="0"/>
                <w:iCs w:val="0"/>
                <w:strike/>
                <w:dstrike w:val="0"/>
                <w:sz w:val="18"/>
                <w:szCs w:val="20"/>
                <w:lang w:val="zh-CN" w:eastAsia="zh-CN"/>
              </w:rPr>
              <w:t>0</w:t>
            </w:r>
            <w:r>
              <w:rPr>
                <w:rFonts w:hint="default" w:ascii="Times New Roman Regular" w:hAnsi="Times New Roman Regular" w:eastAsia="PMingLiU" w:cs="Times New Roman Regular"/>
                <w:i w:val="0"/>
                <w:iCs w:val="0"/>
                <w:strike/>
                <w:dstrike w:val="0"/>
                <w:sz w:val="18"/>
                <w:szCs w:val="20"/>
                <w:lang w:val="en-US"/>
              </w:rPr>
              <w:t xml:space="preserve">, </w:t>
            </w:r>
            <w:r>
              <w:rPr>
                <w:rFonts w:hint="default" w:ascii="Times New Roman Regular" w:hAnsi="Times New Roman Regular" w:eastAsia="PMingLiU" w:cs="Times New Roman Regular"/>
                <w:i w:val="0"/>
                <w:iCs w:val="0"/>
                <w:color w:val="FF0000"/>
                <w:sz w:val="18"/>
                <w:szCs w:val="20"/>
                <w:lang w:val="en-US"/>
              </w:rPr>
              <w:t>200</w:t>
            </w:r>
            <w:r>
              <w:rPr>
                <w:rFonts w:hint="default" w:ascii="Times New Roman Regular" w:hAnsi="Times New Roman Regular" w:eastAsia="PMingLiU" w:cs="Times New Roman Regular"/>
                <w:i w:val="0"/>
                <w:iCs w:val="0"/>
                <w:strike/>
                <w:dstrike w:val="0"/>
                <w:sz w:val="18"/>
                <w:szCs w:val="20"/>
                <w:lang w:val="en-US"/>
              </w:rPr>
              <w:t>, 400]</w:t>
            </w:r>
            <w:r>
              <w:rPr>
                <w:rFonts w:hint="default" w:ascii="Times New Roman Regular" w:hAnsi="Times New Roman Regular" w:eastAsia="PMingLiU" w:cs="Times New Roman Regular"/>
                <w:i w:val="0"/>
                <w:iCs w:val="0"/>
                <w:strike/>
                <w:dstrike w:val="0"/>
                <w:sz w:val="18"/>
                <w:szCs w:val="20"/>
                <w:lang w:val="zh-CN" w:eastAsia="zh-CN"/>
              </w:rPr>
              <w:t xml:space="preserve"> </w:t>
            </w:r>
            <w:r>
              <w:rPr>
                <w:rFonts w:hint="default" w:ascii="Times New Roman Regular" w:hAnsi="Times New Roman Regular" w:eastAsia="PMingLiU" w:cs="Times New Roman Regular"/>
                <w:i w:val="0"/>
                <w:iCs w:val="0"/>
                <w:color w:val="FF0000"/>
                <w:sz w:val="18"/>
                <w:szCs w:val="20"/>
                <w:lang w:val="zh-CN" w:eastAsia="zh-CN"/>
              </w:rPr>
              <w:t xml:space="preserve">MHz </w:t>
            </w:r>
          </w:p>
        </w:tc>
      </w:tr>
      <w:tr w14:paraId="644D291A">
        <w:tc>
          <w:tcPr>
            <w:tcW w:w="2366"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14:paraId="029DF4E0">
            <w:pPr>
              <w:pStyle w:val="76"/>
              <w:rPr>
                <w:rFonts w:hint="default" w:ascii="Times New Roman Regular" w:hAnsi="Times New Roman Regular" w:cs="Times New Roman Regular"/>
              </w:rPr>
            </w:pPr>
            <w:r>
              <w:rPr>
                <w:rFonts w:hint="default" w:ascii="Times New Roman Regular" w:hAnsi="Times New Roman Regular" w:cs="Times New Roman Regular"/>
              </w:rPr>
              <w:t>SCS</w:t>
            </w:r>
          </w:p>
        </w:tc>
        <w:tc>
          <w:tcPr>
            <w:tcW w:w="1720"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743EF99E">
            <w:pPr>
              <w:pStyle w:val="76"/>
              <w:rPr>
                <w:rFonts w:hint="default" w:ascii="Times New Roman Regular" w:hAnsi="Times New Roman Regular" w:cs="Times New Roman Regular"/>
              </w:rPr>
            </w:pPr>
            <w:r>
              <w:rPr>
                <w:rFonts w:hint="default" w:ascii="Times New Roman Regular" w:hAnsi="Times New Roman Regular" w:cs="Times New Roman Regular"/>
              </w:rPr>
              <w:t>30 kHz</w:t>
            </w:r>
          </w:p>
        </w:tc>
        <w:tc>
          <w:tcPr>
            <w:tcW w:w="1729"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1577BB3F">
            <w:pPr>
              <w:pStyle w:val="76"/>
              <w:rPr>
                <w:rFonts w:hint="default" w:ascii="Times New Roman Regular" w:hAnsi="Times New Roman Regular" w:cs="Times New Roman Regular"/>
              </w:rPr>
            </w:pPr>
            <w:r>
              <w:rPr>
                <w:rFonts w:hint="default" w:ascii="Times New Roman Regular" w:hAnsi="Times New Roman Regular" w:cs="Times New Roman Regular"/>
              </w:rPr>
              <w:t>15 kHz</w:t>
            </w:r>
          </w:p>
        </w:tc>
        <w:tc>
          <w:tcPr>
            <w:tcW w:w="1685"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2EBBD64A">
            <w:pPr>
              <w:pStyle w:val="76"/>
              <w:rPr>
                <w:rFonts w:hint="default" w:ascii="Times New Roman Regular" w:hAnsi="Times New Roman Regular" w:cs="Times New Roman Regular"/>
              </w:rPr>
            </w:pPr>
            <w:r>
              <w:rPr>
                <w:rFonts w:hint="default" w:ascii="Times New Roman Regular" w:hAnsi="Times New Roman Regular" w:cs="Times New Roman Regular"/>
              </w:rPr>
              <w:t>120 kHz</w:t>
            </w:r>
          </w:p>
        </w:tc>
        <w:tc>
          <w:tcPr>
            <w:tcW w:w="1923"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top"/>
          </w:tcPr>
          <w:p w14:paraId="627B8800">
            <w:pPr>
              <w:keepNext/>
              <w:keepLines/>
              <w:widowControl w:val="0"/>
              <w:spacing w:line="256" w:lineRule="auto"/>
              <w:rPr>
                <w:rFonts w:hint="default" w:ascii="Times New Roman Regular" w:hAnsi="Times New Roman Regular" w:cs="Times New Roman Regular"/>
                <w:i w:val="0"/>
                <w:iCs w:val="0"/>
                <w:color w:val="FF0000"/>
              </w:rPr>
            </w:pPr>
            <w:r>
              <w:rPr>
                <w:rFonts w:hint="default" w:ascii="Times New Roman Regular" w:hAnsi="Times New Roman Regular" w:eastAsia="PMingLiU" w:cs="Times New Roman Regular"/>
                <w:i w:val="0"/>
                <w:iCs w:val="0"/>
                <w:strike/>
                <w:dstrike w:val="0"/>
                <w:sz w:val="18"/>
                <w:szCs w:val="20"/>
                <w:lang w:val="en-US" w:eastAsia="zh-CN"/>
              </w:rPr>
              <w:t>[</w:t>
            </w:r>
            <w:r>
              <w:rPr>
                <w:rFonts w:hint="default" w:ascii="Times New Roman Regular" w:hAnsi="Times New Roman Regular" w:eastAsia="PMingLiU" w:cs="Times New Roman Regular"/>
                <w:i w:val="0"/>
                <w:iCs w:val="0"/>
                <w:strike/>
                <w:dstrike w:val="0"/>
                <w:sz w:val="18"/>
                <w:szCs w:val="20"/>
                <w:lang w:val="zh-CN" w:eastAsia="zh-CN"/>
              </w:rPr>
              <w:t>30 kHz</w:t>
            </w:r>
            <w:r>
              <w:rPr>
                <w:rFonts w:hint="default" w:ascii="Times New Roman Regular" w:hAnsi="Times New Roman Regular" w:eastAsia="PMingLiU" w:cs="Times New Roman Regular"/>
                <w:i w:val="0"/>
                <w:iCs w:val="0"/>
                <w:strike/>
                <w:dstrike w:val="0"/>
                <w:sz w:val="18"/>
                <w:szCs w:val="20"/>
                <w:lang w:val="en-US" w:eastAsia="zh-CN"/>
              </w:rPr>
              <w:t xml:space="preserve">, </w:t>
            </w:r>
            <w:r>
              <w:rPr>
                <w:rFonts w:hint="default" w:ascii="Times New Roman Regular" w:hAnsi="Times New Roman Regular" w:eastAsia="PMingLiU" w:cs="Times New Roman Regular"/>
                <w:i w:val="0"/>
                <w:iCs w:val="0"/>
                <w:color w:val="FF0000"/>
                <w:sz w:val="18"/>
                <w:szCs w:val="20"/>
                <w:lang w:val="en-US" w:eastAsia="zh-CN"/>
              </w:rPr>
              <w:t>60 kHz</w:t>
            </w:r>
            <w:r>
              <w:rPr>
                <w:rFonts w:hint="default" w:ascii="Times New Roman Regular" w:hAnsi="Times New Roman Regular" w:eastAsia="PMingLiU" w:cs="Times New Roman Regular"/>
                <w:i w:val="0"/>
                <w:iCs w:val="0"/>
                <w:strike/>
                <w:dstrike w:val="0"/>
                <w:sz w:val="18"/>
                <w:szCs w:val="20"/>
                <w:lang w:val="en-US" w:eastAsia="zh-CN"/>
              </w:rPr>
              <w:t>]</w:t>
            </w:r>
          </w:p>
        </w:tc>
      </w:tr>
      <w:tr w14:paraId="7A42BA38">
        <w:tc>
          <w:tcPr>
            <w:tcW w:w="2366"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14:paraId="23D5CED9">
            <w:pPr>
              <w:pStyle w:val="76"/>
              <w:rPr>
                <w:rFonts w:hint="default" w:ascii="Times New Roman Regular" w:hAnsi="Times New Roman Regular" w:cs="Times New Roman Regular"/>
              </w:rPr>
            </w:pPr>
            <w:r>
              <w:rPr>
                <w:rFonts w:hint="default" w:ascii="Times New Roman Regular" w:hAnsi="Times New Roman Regular" w:cs="Times New Roman Regular"/>
              </w:rPr>
              <w:t>Number of TRP</w:t>
            </w:r>
          </w:p>
        </w:tc>
        <w:tc>
          <w:tcPr>
            <w:tcW w:w="1720"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10E41EBB">
            <w:pPr>
              <w:pStyle w:val="76"/>
              <w:rPr>
                <w:rFonts w:hint="default" w:ascii="Times New Roman Regular" w:hAnsi="Times New Roman Regular" w:cs="Times New Roman Regular"/>
              </w:rPr>
            </w:pPr>
            <w:r>
              <w:rPr>
                <w:rFonts w:hint="default" w:ascii="Times New Roman Regular" w:hAnsi="Times New Roman Regular" w:cs="Times New Roman Regular"/>
              </w:rPr>
              <w:t>1</w:t>
            </w:r>
          </w:p>
        </w:tc>
        <w:tc>
          <w:tcPr>
            <w:tcW w:w="1729"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43A95966">
            <w:pPr>
              <w:pStyle w:val="76"/>
              <w:rPr>
                <w:rFonts w:hint="default" w:ascii="Times New Roman Regular" w:hAnsi="Times New Roman Regular" w:cs="Times New Roman Regular"/>
              </w:rPr>
            </w:pPr>
            <w:r>
              <w:rPr>
                <w:rFonts w:hint="default" w:ascii="Times New Roman Regular" w:hAnsi="Times New Roman Regular" w:cs="Times New Roman Regular"/>
              </w:rPr>
              <w:t>1</w:t>
            </w:r>
          </w:p>
        </w:tc>
        <w:tc>
          <w:tcPr>
            <w:tcW w:w="1685"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030D1037">
            <w:pPr>
              <w:pStyle w:val="76"/>
              <w:rPr>
                <w:rFonts w:hint="default" w:ascii="Times New Roman Regular" w:hAnsi="Times New Roman Regular" w:cs="Times New Roman Regular"/>
              </w:rPr>
            </w:pPr>
            <w:r>
              <w:rPr>
                <w:rFonts w:hint="default" w:ascii="Times New Roman Regular" w:hAnsi="Times New Roman Regular" w:cs="Times New Roman Regular"/>
              </w:rPr>
              <w:t>1</w:t>
            </w:r>
          </w:p>
        </w:tc>
        <w:tc>
          <w:tcPr>
            <w:tcW w:w="1923"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top"/>
          </w:tcPr>
          <w:p w14:paraId="1BE1A6AD">
            <w:pPr>
              <w:keepNext/>
              <w:keepLines/>
              <w:widowControl w:val="0"/>
              <w:spacing w:line="256" w:lineRule="auto"/>
              <w:rPr>
                <w:rFonts w:hint="default" w:ascii="Times New Roman Regular" w:hAnsi="Times New Roman Regular" w:cs="Times New Roman Regular"/>
                <w:i w:val="0"/>
                <w:iCs w:val="0"/>
                <w:color w:val="FF0000"/>
              </w:rPr>
            </w:pPr>
            <w:r>
              <w:rPr>
                <w:rFonts w:hint="default" w:ascii="Times New Roman Regular" w:hAnsi="Times New Roman Regular" w:eastAsia="PMingLiU" w:cs="Times New Roman Regular"/>
                <w:i w:val="0"/>
                <w:iCs w:val="0"/>
                <w:color w:val="FF0000"/>
                <w:sz w:val="18"/>
                <w:szCs w:val="20"/>
                <w:lang w:val="zh-CN" w:eastAsia="zh-CN"/>
              </w:rPr>
              <w:t>1</w:t>
            </w:r>
          </w:p>
        </w:tc>
      </w:tr>
      <w:tr w14:paraId="6EBA6D72">
        <w:tc>
          <w:tcPr>
            <w:tcW w:w="2366"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14:paraId="6A6111E3">
            <w:pPr>
              <w:pStyle w:val="76"/>
              <w:rPr>
                <w:rFonts w:hint="default" w:ascii="Times New Roman Regular" w:hAnsi="Times New Roman Regular" w:cs="Times New Roman Regular"/>
                <w:highlight w:val="none"/>
              </w:rPr>
            </w:pPr>
            <w:r>
              <w:rPr>
                <w:rFonts w:hint="default" w:ascii="Times New Roman Regular" w:hAnsi="Times New Roman Regular" w:cs="Times New Roman Regular"/>
                <w:highlight w:val="none"/>
              </w:rPr>
              <w:t xml:space="preserve">Total number of DL TX </w:t>
            </w:r>
            <w:r>
              <w:rPr>
                <w:rFonts w:hint="default" w:ascii="Times New Roman Regular" w:hAnsi="Times New Roman Regular" w:cs="Times New Roman Regular"/>
                <w:sz w:val="20"/>
                <w:szCs w:val="20"/>
                <w:highlight w:val="none"/>
              </w:rPr>
              <w:t>RUs</w:t>
            </w:r>
          </w:p>
        </w:tc>
        <w:tc>
          <w:tcPr>
            <w:tcW w:w="1720"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759615EC">
            <w:pPr>
              <w:pStyle w:val="76"/>
              <w:rPr>
                <w:rFonts w:hint="default" w:ascii="Times New Roman Regular" w:hAnsi="Times New Roman Regular" w:cs="Times New Roman Regular"/>
                <w:highlight w:val="none"/>
              </w:rPr>
            </w:pPr>
            <w:r>
              <w:rPr>
                <w:rFonts w:hint="default" w:ascii="Times New Roman Regular" w:hAnsi="Times New Roman Regular" w:cs="Times New Roman Regular"/>
                <w:highlight w:val="none"/>
              </w:rPr>
              <w:t>64</w:t>
            </w:r>
          </w:p>
        </w:tc>
        <w:tc>
          <w:tcPr>
            <w:tcW w:w="1729"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198F15FA">
            <w:pPr>
              <w:pStyle w:val="76"/>
              <w:rPr>
                <w:rFonts w:hint="default" w:ascii="Times New Roman Regular" w:hAnsi="Times New Roman Regular" w:cs="Times New Roman Regular"/>
                <w:highlight w:val="none"/>
                <w:lang w:eastAsia="zh-CN"/>
              </w:rPr>
            </w:pPr>
            <w:r>
              <w:rPr>
                <w:rFonts w:hint="default" w:ascii="Times New Roman Regular" w:hAnsi="Times New Roman Regular" w:cs="Times New Roman Regular"/>
                <w:highlight w:val="none"/>
                <w:lang w:eastAsia="zh-CN"/>
              </w:rPr>
              <w:t>32</w:t>
            </w:r>
          </w:p>
        </w:tc>
        <w:tc>
          <w:tcPr>
            <w:tcW w:w="1685"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3C22AF77">
            <w:pPr>
              <w:pStyle w:val="76"/>
              <w:rPr>
                <w:rFonts w:hint="default" w:ascii="Times New Roman Regular" w:hAnsi="Times New Roman Regular" w:cs="Times New Roman Regular"/>
                <w:strike/>
                <w:highlight w:val="none"/>
              </w:rPr>
            </w:pPr>
            <w:r>
              <w:rPr>
                <w:rFonts w:hint="default" w:ascii="Times New Roman Regular" w:hAnsi="Times New Roman Regular" w:cs="Times New Roman Regular"/>
                <w:highlight w:val="none"/>
              </w:rPr>
              <w:t>2</w:t>
            </w:r>
          </w:p>
        </w:tc>
        <w:tc>
          <w:tcPr>
            <w:tcW w:w="1923"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top"/>
          </w:tcPr>
          <w:p w14:paraId="31A25C8F">
            <w:pPr>
              <w:keepNext/>
              <w:keepLines/>
              <w:widowControl w:val="0"/>
              <w:spacing w:line="256" w:lineRule="auto"/>
              <w:rPr>
                <w:rFonts w:hint="default" w:ascii="Times New Roman Regular" w:hAnsi="Times New Roman Regular" w:cs="Times New Roman Regular"/>
                <w:i w:val="0"/>
                <w:iCs w:val="0"/>
                <w:color w:val="FF0000"/>
                <w:highlight w:val="none"/>
              </w:rPr>
            </w:pPr>
            <w:r>
              <w:rPr>
                <w:rFonts w:hint="default" w:ascii="Times New Roman Regular" w:hAnsi="Times New Roman Regular" w:eastAsia="PMingLiU" w:cs="Times New Roman Regular"/>
                <w:i w:val="0"/>
                <w:iCs w:val="0"/>
                <w:strike/>
                <w:dstrike w:val="0"/>
                <w:sz w:val="18"/>
                <w:szCs w:val="20"/>
                <w:highlight w:val="none"/>
                <w:lang w:val="en-US"/>
              </w:rPr>
              <w:t>[</w:t>
            </w:r>
            <w:r>
              <w:rPr>
                <w:rFonts w:hint="default" w:ascii="Times New Roman Regular" w:hAnsi="Times New Roman Regular" w:eastAsia="PMingLiU" w:cs="Times New Roman Regular"/>
                <w:i w:val="0"/>
                <w:iCs w:val="0"/>
                <w:strike/>
                <w:dstrike w:val="0"/>
                <w:sz w:val="18"/>
                <w:szCs w:val="20"/>
                <w:highlight w:val="none"/>
                <w:lang w:val="zh-CN" w:eastAsia="zh-CN"/>
              </w:rPr>
              <w:t>1</w:t>
            </w:r>
            <w:r>
              <w:rPr>
                <w:rFonts w:hint="default" w:ascii="Times New Roman Regular" w:hAnsi="Times New Roman Regular" w:eastAsia="PMingLiU" w:cs="Times New Roman Regular"/>
                <w:i w:val="0"/>
                <w:iCs w:val="0"/>
                <w:strike/>
                <w:dstrike w:val="0"/>
                <w:sz w:val="18"/>
                <w:szCs w:val="20"/>
                <w:highlight w:val="none"/>
                <w:lang w:val="en-US"/>
              </w:rPr>
              <w:t xml:space="preserve">28, </w:t>
            </w:r>
            <w:r>
              <w:rPr>
                <w:rFonts w:hint="default" w:ascii="Times New Roman Regular" w:hAnsi="Times New Roman Regular" w:eastAsia="PMingLiU" w:cs="Times New Roman Regular"/>
                <w:i w:val="0"/>
                <w:iCs w:val="0"/>
                <w:color w:val="FF0000"/>
                <w:sz w:val="18"/>
                <w:szCs w:val="20"/>
                <w:highlight w:val="none"/>
                <w:lang w:val="en-US"/>
              </w:rPr>
              <w:t>256</w:t>
            </w:r>
            <w:r>
              <w:rPr>
                <w:rFonts w:hint="default" w:ascii="Times New Roman Regular" w:hAnsi="Times New Roman Regular" w:eastAsia="PMingLiU" w:cs="Times New Roman Regular"/>
                <w:i w:val="0"/>
                <w:iCs w:val="0"/>
                <w:strike/>
                <w:dstrike w:val="0"/>
                <w:sz w:val="18"/>
                <w:szCs w:val="20"/>
                <w:highlight w:val="none"/>
                <w:lang w:val="en-US"/>
              </w:rPr>
              <w:t>]</w:t>
            </w:r>
          </w:p>
        </w:tc>
      </w:tr>
      <w:tr w14:paraId="5536FDB4">
        <w:tc>
          <w:tcPr>
            <w:tcW w:w="2366"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14:paraId="32C10F76">
            <w:pPr>
              <w:pStyle w:val="76"/>
              <w:rPr>
                <w:rFonts w:hint="default" w:ascii="Times New Roman Regular" w:hAnsi="Times New Roman Regular" w:cs="Times New Roman Regular"/>
              </w:rPr>
            </w:pPr>
            <w:r>
              <w:rPr>
                <w:rFonts w:hint="default" w:ascii="Times New Roman Regular" w:hAnsi="Times New Roman Regular" w:cs="Times New Roman Regular"/>
              </w:rPr>
              <w:t>Total DL power level</w:t>
            </w:r>
          </w:p>
        </w:tc>
        <w:tc>
          <w:tcPr>
            <w:tcW w:w="1720"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14A1B2E6">
            <w:pPr>
              <w:pStyle w:val="76"/>
              <w:rPr>
                <w:rFonts w:hint="default" w:ascii="Times New Roman Regular" w:hAnsi="Times New Roman Regular" w:cs="Times New Roman Regular"/>
              </w:rPr>
            </w:pPr>
            <w:r>
              <w:rPr>
                <w:rFonts w:hint="default" w:ascii="Times New Roman Regular" w:hAnsi="Times New Roman Regular" w:cs="Times New Roman Regular"/>
              </w:rPr>
              <w:t>55 dBm</w:t>
            </w:r>
          </w:p>
        </w:tc>
        <w:tc>
          <w:tcPr>
            <w:tcW w:w="1729"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4156CD74">
            <w:pPr>
              <w:pStyle w:val="76"/>
              <w:rPr>
                <w:rFonts w:hint="default" w:ascii="Times New Roman Regular" w:hAnsi="Times New Roman Regular" w:cs="Times New Roman Regular"/>
                <w:lang w:eastAsia="zh-CN"/>
              </w:rPr>
            </w:pPr>
            <w:r>
              <w:rPr>
                <w:rFonts w:hint="default" w:ascii="Times New Roman Regular" w:hAnsi="Times New Roman Regular" w:cs="Times New Roman Regular"/>
                <w:lang w:eastAsia="zh-CN"/>
              </w:rPr>
              <w:t>49 dBm</w:t>
            </w:r>
          </w:p>
        </w:tc>
        <w:tc>
          <w:tcPr>
            <w:tcW w:w="1685"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3D7B8D80">
            <w:pPr>
              <w:pStyle w:val="76"/>
              <w:rPr>
                <w:rFonts w:hint="default" w:ascii="Times New Roman Regular" w:hAnsi="Times New Roman Regular" w:cs="Times New Roman Regular"/>
                <w:lang w:eastAsia="zh-CN"/>
              </w:rPr>
            </w:pPr>
            <w:r>
              <w:rPr>
                <w:rFonts w:hint="default" w:ascii="Times New Roman Regular" w:hAnsi="Times New Roman Regular" w:cs="Times New Roman Regular"/>
                <w:lang w:eastAsia="zh-CN"/>
              </w:rPr>
              <w:t>33 dBm*</w:t>
            </w:r>
          </w:p>
        </w:tc>
        <w:tc>
          <w:tcPr>
            <w:tcW w:w="1923"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top"/>
          </w:tcPr>
          <w:p w14:paraId="24661A6F">
            <w:pPr>
              <w:keepNext/>
              <w:keepLines/>
              <w:widowControl w:val="0"/>
              <w:spacing w:line="256" w:lineRule="auto"/>
              <w:rPr>
                <w:rFonts w:hint="default" w:ascii="Times New Roman Regular" w:hAnsi="Times New Roman Regular" w:cs="Times New Roman Regular"/>
                <w:i w:val="0"/>
                <w:iCs w:val="0"/>
                <w:color w:val="FF0000"/>
                <w:lang w:eastAsia="zh-CN"/>
              </w:rPr>
            </w:pPr>
            <w:r>
              <w:rPr>
                <w:rFonts w:hint="default" w:ascii="Times New Roman Regular" w:hAnsi="Times New Roman Regular" w:eastAsia="PMingLiU" w:cs="Times New Roman Regular"/>
                <w:i w:val="0"/>
                <w:iCs w:val="0"/>
                <w:strike/>
                <w:dstrike w:val="0"/>
                <w:sz w:val="18"/>
                <w:szCs w:val="20"/>
                <w:lang w:val="en-US"/>
              </w:rPr>
              <w:t>[</w:t>
            </w:r>
            <w:r>
              <w:rPr>
                <w:rFonts w:hint="default" w:ascii="Times New Roman Regular" w:hAnsi="Times New Roman Regular" w:eastAsia="PMingLiU" w:cs="Times New Roman Regular"/>
                <w:i w:val="0"/>
                <w:iCs w:val="0"/>
                <w:strike/>
                <w:dstrike w:val="0"/>
                <w:sz w:val="18"/>
                <w:szCs w:val="20"/>
                <w:lang w:val="zh-CN" w:eastAsia="zh-CN"/>
              </w:rPr>
              <w:t>56</w:t>
            </w:r>
            <w:r>
              <w:rPr>
                <w:rFonts w:hint="default" w:ascii="Times New Roman Regular" w:hAnsi="Times New Roman Regular" w:eastAsia="PMingLiU" w:cs="Times New Roman Regular"/>
                <w:i w:val="0"/>
                <w:iCs w:val="0"/>
                <w:strike/>
                <w:dstrike w:val="0"/>
                <w:sz w:val="18"/>
                <w:szCs w:val="20"/>
                <w:lang w:val="en-US"/>
              </w:rPr>
              <w:t xml:space="preserve">] </w:t>
            </w:r>
            <w:r>
              <w:rPr>
                <w:rFonts w:hint="default" w:ascii="Times New Roman Regular" w:hAnsi="Times New Roman Regular" w:eastAsia="PMingLiU" w:cs="Times New Roman Regular"/>
                <w:i w:val="0"/>
                <w:iCs w:val="0"/>
                <w:strike w:val="0"/>
                <w:dstrike w:val="0"/>
                <w:color w:val="FF0000"/>
                <w:sz w:val="18"/>
                <w:szCs w:val="20"/>
                <w:lang w:val="en-US"/>
              </w:rPr>
              <w:t>62 or 63</w:t>
            </w:r>
            <w:r>
              <w:rPr>
                <w:rFonts w:hint="default" w:ascii="Times New Roman Regular" w:hAnsi="Times New Roman Regular" w:eastAsia="PMingLiU" w:cs="Times New Roman Regular"/>
                <w:i w:val="0"/>
                <w:iCs w:val="0"/>
                <w:sz w:val="18"/>
                <w:szCs w:val="20"/>
                <w:lang w:val="zh-CN" w:eastAsia="zh-CN"/>
              </w:rPr>
              <w:t xml:space="preserve"> dBm</w:t>
            </w:r>
          </w:p>
        </w:tc>
      </w:tr>
      <w:tr w14:paraId="0BFCF355">
        <w:tc>
          <w:tcPr>
            <w:tcW w:w="2366" w:type="dxa"/>
            <w:tcBorders>
              <w:top w:val="nil"/>
              <w:left w:val="single" w:color="auto" w:sz="8" w:space="0"/>
              <w:bottom w:val="single" w:color="auto" w:sz="4" w:space="0"/>
              <w:right w:val="single" w:color="auto" w:sz="8" w:space="0"/>
            </w:tcBorders>
            <w:shd w:val="clear" w:color="auto" w:fill="auto"/>
            <w:tcMar>
              <w:top w:w="0" w:type="dxa"/>
              <w:left w:w="108" w:type="dxa"/>
              <w:bottom w:w="0" w:type="dxa"/>
              <w:right w:w="108" w:type="dxa"/>
            </w:tcMar>
          </w:tcPr>
          <w:p w14:paraId="304424DF">
            <w:pPr>
              <w:pStyle w:val="76"/>
              <w:rPr>
                <w:rFonts w:hint="default" w:ascii="Times New Roman Regular" w:hAnsi="Times New Roman Regular" w:cs="Times New Roman Regular"/>
                <w:highlight w:val="none"/>
              </w:rPr>
            </w:pPr>
            <w:r>
              <w:rPr>
                <w:rFonts w:hint="default" w:ascii="Times New Roman Regular" w:hAnsi="Times New Roman Regular" w:cs="Times New Roman Regular"/>
                <w:highlight w:val="none"/>
              </w:rPr>
              <w:t>Total number of UL Rx RUs</w:t>
            </w:r>
          </w:p>
        </w:tc>
        <w:tc>
          <w:tcPr>
            <w:tcW w:w="1720" w:type="dxa"/>
            <w:tcBorders>
              <w:top w:val="nil"/>
              <w:left w:val="nil"/>
              <w:bottom w:val="single" w:color="auto" w:sz="4" w:space="0"/>
              <w:right w:val="single" w:color="auto" w:sz="8" w:space="0"/>
            </w:tcBorders>
            <w:shd w:val="clear" w:color="auto" w:fill="auto"/>
            <w:tcMar>
              <w:top w:w="0" w:type="dxa"/>
              <w:left w:w="108" w:type="dxa"/>
              <w:bottom w:w="0" w:type="dxa"/>
              <w:right w:w="108" w:type="dxa"/>
            </w:tcMar>
          </w:tcPr>
          <w:p w14:paraId="39DB816D">
            <w:pPr>
              <w:pStyle w:val="76"/>
              <w:rPr>
                <w:rFonts w:hint="default" w:ascii="Times New Roman Regular" w:hAnsi="Times New Roman Regular" w:cs="Times New Roman Regular"/>
                <w:highlight w:val="none"/>
              </w:rPr>
            </w:pPr>
            <w:r>
              <w:rPr>
                <w:rFonts w:hint="default" w:ascii="Times New Roman Regular" w:hAnsi="Times New Roman Regular" w:cs="Times New Roman Regular"/>
                <w:highlight w:val="none"/>
              </w:rPr>
              <w:t>64</w:t>
            </w:r>
          </w:p>
        </w:tc>
        <w:tc>
          <w:tcPr>
            <w:tcW w:w="1729" w:type="dxa"/>
            <w:tcBorders>
              <w:top w:val="nil"/>
              <w:left w:val="nil"/>
              <w:bottom w:val="single" w:color="auto" w:sz="4" w:space="0"/>
              <w:right w:val="single" w:color="auto" w:sz="8" w:space="0"/>
            </w:tcBorders>
            <w:shd w:val="clear" w:color="auto" w:fill="auto"/>
            <w:tcMar>
              <w:top w:w="0" w:type="dxa"/>
              <w:left w:w="108" w:type="dxa"/>
              <w:bottom w:w="0" w:type="dxa"/>
              <w:right w:w="108" w:type="dxa"/>
            </w:tcMar>
          </w:tcPr>
          <w:p w14:paraId="09C231B5">
            <w:pPr>
              <w:pStyle w:val="76"/>
              <w:rPr>
                <w:rFonts w:hint="default" w:ascii="Times New Roman Regular" w:hAnsi="Times New Roman Regular" w:cs="Times New Roman Regular"/>
                <w:highlight w:val="none"/>
                <w:lang w:eastAsia="zh-CN"/>
              </w:rPr>
            </w:pPr>
            <w:r>
              <w:rPr>
                <w:rFonts w:hint="default" w:ascii="Times New Roman Regular" w:hAnsi="Times New Roman Regular" w:cs="Times New Roman Regular"/>
                <w:highlight w:val="none"/>
                <w:lang w:eastAsia="zh-CN"/>
              </w:rPr>
              <w:t>32</w:t>
            </w:r>
          </w:p>
        </w:tc>
        <w:tc>
          <w:tcPr>
            <w:tcW w:w="1685" w:type="dxa"/>
            <w:tcBorders>
              <w:top w:val="nil"/>
              <w:left w:val="nil"/>
              <w:bottom w:val="single" w:color="auto" w:sz="4" w:space="0"/>
              <w:right w:val="single" w:color="auto" w:sz="8" w:space="0"/>
            </w:tcBorders>
            <w:shd w:val="clear" w:color="auto" w:fill="auto"/>
            <w:tcMar>
              <w:top w:w="0" w:type="dxa"/>
              <w:left w:w="108" w:type="dxa"/>
              <w:bottom w:w="0" w:type="dxa"/>
              <w:right w:w="108" w:type="dxa"/>
            </w:tcMar>
          </w:tcPr>
          <w:p w14:paraId="3D76DD3E">
            <w:pPr>
              <w:pStyle w:val="76"/>
              <w:rPr>
                <w:rFonts w:hint="default" w:ascii="Times New Roman Regular" w:hAnsi="Times New Roman Regular" w:cs="Times New Roman Regular"/>
                <w:highlight w:val="none"/>
              </w:rPr>
            </w:pPr>
            <w:r>
              <w:rPr>
                <w:rFonts w:hint="default" w:ascii="Times New Roman Regular" w:hAnsi="Times New Roman Regular" w:cs="Times New Roman Regular"/>
                <w:highlight w:val="none"/>
              </w:rPr>
              <w:t>2</w:t>
            </w:r>
          </w:p>
        </w:tc>
        <w:tc>
          <w:tcPr>
            <w:tcW w:w="1923" w:type="dxa"/>
            <w:tcBorders>
              <w:top w:val="nil"/>
              <w:left w:val="nil"/>
              <w:bottom w:val="single" w:color="auto" w:sz="4" w:space="0"/>
              <w:right w:val="single" w:color="auto" w:sz="8" w:space="0"/>
            </w:tcBorders>
            <w:shd w:val="clear" w:color="auto" w:fill="auto"/>
            <w:tcMar>
              <w:top w:w="0" w:type="dxa"/>
              <w:left w:w="108" w:type="dxa"/>
              <w:bottom w:w="0" w:type="dxa"/>
              <w:right w:w="108" w:type="dxa"/>
            </w:tcMar>
            <w:vAlign w:val="top"/>
          </w:tcPr>
          <w:p w14:paraId="225C308F">
            <w:pPr>
              <w:keepNext/>
              <w:keepLines/>
              <w:widowControl w:val="0"/>
              <w:spacing w:line="256" w:lineRule="auto"/>
              <w:rPr>
                <w:rFonts w:hint="default" w:ascii="Times New Roman Regular" w:hAnsi="Times New Roman Regular" w:cs="Times New Roman Regular"/>
                <w:i w:val="0"/>
                <w:iCs w:val="0"/>
                <w:color w:val="FF0000"/>
                <w:highlight w:val="none"/>
              </w:rPr>
            </w:pPr>
            <w:r>
              <w:rPr>
                <w:rFonts w:hint="default" w:ascii="Times New Roman Regular" w:hAnsi="Times New Roman Regular" w:eastAsia="PMingLiU" w:cs="Times New Roman Regular"/>
                <w:i w:val="0"/>
                <w:iCs w:val="0"/>
                <w:strike/>
                <w:dstrike w:val="0"/>
                <w:sz w:val="18"/>
                <w:szCs w:val="20"/>
                <w:highlight w:val="none"/>
                <w:lang w:val="en-US"/>
              </w:rPr>
              <w:t>[</w:t>
            </w:r>
            <w:r>
              <w:rPr>
                <w:rFonts w:hint="default" w:ascii="Times New Roman Regular" w:hAnsi="Times New Roman Regular" w:eastAsia="PMingLiU" w:cs="Times New Roman Regular"/>
                <w:i w:val="0"/>
                <w:iCs w:val="0"/>
                <w:strike/>
                <w:dstrike w:val="0"/>
                <w:sz w:val="18"/>
                <w:szCs w:val="20"/>
                <w:highlight w:val="none"/>
                <w:lang w:val="zh-CN" w:eastAsia="zh-CN"/>
              </w:rPr>
              <w:t>1</w:t>
            </w:r>
            <w:r>
              <w:rPr>
                <w:rFonts w:hint="default" w:ascii="Times New Roman Regular" w:hAnsi="Times New Roman Regular" w:eastAsia="PMingLiU" w:cs="Times New Roman Regular"/>
                <w:i w:val="0"/>
                <w:iCs w:val="0"/>
                <w:strike/>
                <w:dstrike w:val="0"/>
                <w:sz w:val="18"/>
                <w:szCs w:val="20"/>
                <w:highlight w:val="none"/>
                <w:lang w:val="en-US"/>
              </w:rPr>
              <w:t xml:space="preserve">28, </w:t>
            </w:r>
            <w:r>
              <w:rPr>
                <w:rFonts w:hint="default" w:ascii="Times New Roman Regular" w:hAnsi="Times New Roman Regular" w:eastAsia="PMingLiU" w:cs="Times New Roman Regular"/>
                <w:i w:val="0"/>
                <w:iCs w:val="0"/>
                <w:color w:val="FF0000"/>
                <w:sz w:val="18"/>
                <w:szCs w:val="20"/>
                <w:highlight w:val="none"/>
                <w:lang w:val="en-US"/>
              </w:rPr>
              <w:t>256</w:t>
            </w:r>
            <w:r>
              <w:rPr>
                <w:rFonts w:hint="default" w:ascii="Times New Roman Regular" w:hAnsi="Times New Roman Regular" w:eastAsia="PMingLiU" w:cs="Times New Roman Regular"/>
                <w:i w:val="0"/>
                <w:iCs w:val="0"/>
                <w:strike/>
                <w:dstrike w:val="0"/>
                <w:sz w:val="18"/>
                <w:szCs w:val="20"/>
                <w:highlight w:val="none"/>
                <w:lang w:val="en-US"/>
              </w:rPr>
              <w:t>]</w:t>
            </w:r>
          </w:p>
        </w:tc>
      </w:tr>
      <w:tr w14:paraId="206D97FA">
        <w:tc>
          <w:tcPr>
            <w:tcW w:w="9423" w:type="dxa"/>
            <w:gridSpan w:val="5"/>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14:paraId="784AD60E">
            <w:pPr>
              <w:pStyle w:val="79"/>
              <w:rPr>
                <w:rFonts w:hint="default" w:ascii="Times New Roman Regular" w:hAnsi="Times New Roman Regular" w:cs="Times New Roman Regular"/>
                <w:lang w:eastAsia="zh-CN"/>
              </w:rPr>
            </w:pPr>
            <w:r>
              <w:rPr>
                <w:rFonts w:hint="default" w:ascii="Times New Roman Regular" w:hAnsi="Times New Roman Regular" w:cs="Times New Roman Regular"/>
                <w:lang w:eastAsia="zh-CN"/>
              </w:rPr>
              <w:t>*Note: EIRP limit is 63 dBm for the reference configuration. The EIRP value is scaled with the number of TxRUs.</w:t>
            </w:r>
          </w:p>
          <w:p w14:paraId="79FB5BF6">
            <w:pPr>
              <w:pStyle w:val="79"/>
              <w:ind w:left="0" w:leftChars="0" w:firstLine="0" w:firstLineChars="0"/>
              <w:rPr>
                <w:rFonts w:hint="default" w:ascii="Times New Roman Regular" w:hAnsi="Times New Roman Regular" w:cs="Times New Roman Regular"/>
                <w:lang w:val="en-US" w:eastAsia="zh-CN"/>
              </w:rPr>
            </w:pPr>
            <w:r>
              <w:rPr>
                <w:rFonts w:hint="default" w:ascii="Times New Roman Regular" w:hAnsi="Times New Roman Regular" w:cs="Times New Roman Regular"/>
                <w:color w:val="FF0000"/>
                <w:lang w:val="en-US" w:eastAsia="zh-CN"/>
              </w:rPr>
              <w:t>*Note: If total number of DL Tx/UL Rx RUs equals to 128, the EIRP value could be 56dBm.</w:t>
            </w:r>
          </w:p>
        </w:tc>
      </w:tr>
    </w:tbl>
    <w:p w14:paraId="52769AEF">
      <w:pPr>
        <w:numPr>
          <w:ilvl w:val="0"/>
          <w:numId w:val="0"/>
        </w:numPr>
        <w:outlineLvl w:val="9"/>
        <w:rPr>
          <w:rFonts w:hint="eastAsia" w:ascii="Times New Roman Bold Italic" w:hAnsi="Times New Roman Bold Italic" w:eastAsia="等线" w:cs="Times New Roman Bold Italic"/>
          <w:b/>
          <w:bCs/>
          <w:i/>
          <w:iCs/>
          <w:highlight w:val="yellow"/>
          <w:u w:val="single"/>
          <w:lang w:val="en-US" w:eastAsia="zh-CN"/>
        </w:rPr>
      </w:pPr>
    </w:p>
    <w:p w14:paraId="3EFC0F20">
      <w:pPr>
        <w:keepNext w:val="0"/>
        <w:keepLines w:val="0"/>
        <w:widowControl/>
        <w:suppressLineNumbers w:val="0"/>
        <w:jc w:val="both"/>
        <w:rPr>
          <w:rFonts w:hint="default" w:ascii="Times New Roman Bold Italic" w:hAnsi="Times New Roman Bold Italic" w:eastAsia="宋体" w:cs="Times New Roman Bold Italic"/>
          <w:b/>
          <w:bCs/>
          <w:i/>
          <w:iCs/>
          <w:color w:val="auto"/>
          <w:sz w:val="22"/>
          <w:szCs w:val="22"/>
          <w:lang w:val="en-US" w:eastAsia="zh-CN" w:bidi="ar-SA"/>
        </w:rPr>
      </w:pPr>
      <w:r>
        <w:rPr>
          <w:rFonts w:hint="default" w:ascii="Times New Roman Bold Italic" w:hAnsi="Times New Roman Bold Italic" w:eastAsia="宋体" w:cs="Times New Roman Bold Italic"/>
          <w:b/>
          <w:bCs/>
          <w:i/>
          <w:iCs/>
          <w:color w:val="auto"/>
          <w:sz w:val="22"/>
          <w:szCs w:val="22"/>
          <w:lang w:val="en-US" w:eastAsia="zh-CN" w:bidi="ar-SA"/>
        </w:rPr>
        <w:t xml:space="preserve">Proposal </w:t>
      </w:r>
      <w:r>
        <w:rPr>
          <w:rFonts w:hint="default" w:ascii="Times New Roman Bold Italic" w:hAnsi="Times New Roman Bold Italic" w:cs="Times New Roman Bold Italic"/>
          <w:b/>
          <w:bCs/>
          <w:i/>
          <w:iCs/>
          <w:color w:val="auto"/>
          <w:sz w:val="22"/>
          <w:szCs w:val="22"/>
          <w:lang w:val="en-US" w:eastAsia="zh-CN" w:bidi="ar-SA"/>
        </w:rPr>
        <w:t>9</w:t>
      </w:r>
      <w:r>
        <w:rPr>
          <w:rFonts w:hint="default" w:ascii="Times New Roman Bold Italic" w:hAnsi="Times New Roman Bold Italic" w:eastAsia="宋体" w:cs="Times New Roman Bold Italic"/>
          <w:b/>
          <w:bCs/>
          <w:i/>
          <w:iCs/>
          <w:color w:val="auto"/>
          <w:sz w:val="22"/>
          <w:szCs w:val="22"/>
          <w:lang w:val="en-US" w:eastAsia="zh-CN" w:bidi="ar-SA"/>
        </w:rPr>
        <w:t>: Except for Deep sleep, Light sleep, Micro sleep, Active DL/UL, consider additional power state for 6G BS power consumption model, at least including</w:t>
      </w:r>
    </w:p>
    <w:p w14:paraId="0F7F5D73">
      <w:pPr>
        <w:pStyle w:val="76"/>
        <w:rPr>
          <w:rFonts w:hint="default" w:ascii="Times New Roman Bold Italic" w:hAnsi="Times New Roman Bold Italic" w:eastAsia="宋体" w:cs="Times New Roman Bold Italic"/>
          <w:b/>
          <w:bCs/>
          <w:i/>
          <w:iCs/>
          <w:color w:val="auto"/>
          <w:sz w:val="22"/>
          <w:szCs w:val="22"/>
          <w:lang w:val="en-US" w:eastAsia="zh-CN" w:bidi="ar-SA"/>
        </w:rPr>
      </w:pPr>
      <w:r>
        <w:rPr>
          <w:rFonts w:hint="default" w:ascii="Times New Roman Bold Italic" w:hAnsi="Times New Roman Bold Italic" w:eastAsia="宋体" w:cs="Times New Roman Bold Italic"/>
          <w:b/>
          <w:bCs/>
          <w:i/>
          <w:iCs/>
          <w:color w:val="auto"/>
          <w:sz w:val="22"/>
          <w:szCs w:val="22"/>
          <w:lang w:val="en-US" w:eastAsia="zh-CN" w:bidi="ar-SA"/>
        </w:rPr>
        <w:t>-- Ultra deep sleep</w:t>
      </w:r>
    </w:p>
    <w:p w14:paraId="3B05FC43">
      <w:pPr>
        <w:pStyle w:val="76"/>
        <w:numPr>
          <w:ilvl w:val="0"/>
          <w:numId w:val="19"/>
        </w:numPr>
        <w:ind w:left="840" w:leftChars="0" w:hanging="420" w:firstLineChars="0"/>
        <w:rPr>
          <w:rFonts w:hint="default" w:ascii="Times New Roman Bold Italic" w:hAnsi="Times New Roman Bold Italic" w:cs="Times New Roman Bold Italic"/>
          <w:i/>
          <w:iCs/>
          <w:color w:val="auto"/>
          <w:sz w:val="22"/>
          <w:szCs w:val="22"/>
          <w:lang w:val="en-US" w:eastAsia="zh-CN"/>
        </w:rPr>
      </w:pPr>
      <w:r>
        <w:rPr>
          <w:rFonts w:hint="default" w:ascii="Times New Roman Bold Italic" w:hAnsi="Times New Roman Bold Italic" w:cs="Times New Roman Bold Italic"/>
          <w:i/>
          <w:iCs/>
          <w:color w:val="auto"/>
          <w:sz w:val="22"/>
          <w:szCs w:val="22"/>
          <w:lang w:val="en-US" w:eastAsia="zh-CN"/>
        </w:rPr>
        <w:t>There is neither DL transmission nor UL reception.</w:t>
      </w:r>
    </w:p>
    <w:p w14:paraId="2F3D2B7A">
      <w:pPr>
        <w:pStyle w:val="76"/>
        <w:numPr>
          <w:ilvl w:val="0"/>
          <w:numId w:val="19"/>
        </w:numPr>
        <w:ind w:left="840" w:leftChars="0" w:hanging="420" w:firstLineChars="0"/>
        <w:rPr>
          <w:rFonts w:hint="default" w:ascii="Times New Roman Bold Italic" w:hAnsi="Times New Roman Bold Italic" w:cs="Times New Roman Bold Italic"/>
          <w:i/>
          <w:iCs/>
          <w:color w:val="auto"/>
          <w:sz w:val="22"/>
          <w:szCs w:val="22"/>
        </w:rPr>
      </w:pPr>
      <w:r>
        <w:rPr>
          <w:rFonts w:hint="default" w:ascii="Times New Roman Bold Italic" w:hAnsi="Times New Roman Bold Italic" w:cs="Times New Roman Bold Italic"/>
          <w:i/>
          <w:iCs/>
          <w:color w:val="auto"/>
          <w:sz w:val="22"/>
          <w:szCs w:val="22"/>
        </w:rPr>
        <w:t xml:space="preserve">Time interval for the sleep should be larger than the total transition time entering and leaving this state. </w:t>
      </w:r>
    </w:p>
    <w:p w14:paraId="46BB2F08">
      <w:pPr>
        <w:keepNext w:val="0"/>
        <w:keepLines w:val="0"/>
        <w:widowControl/>
        <w:numPr>
          <w:ilvl w:val="0"/>
          <w:numId w:val="19"/>
        </w:numPr>
        <w:suppressLineNumbers w:val="0"/>
        <w:ind w:left="840" w:leftChars="0" w:hanging="420" w:firstLineChars="0"/>
        <w:jc w:val="both"/>
        <w:rPr>
          <w:rFonts w:hint="default" w:ascii="Times New Roman Bold Italic" w:hAnsi="Times New Roman Bold Italic" w:eastAsia="宋体" w:cs="Times New Roman Bold Italic"/>
          <w:b/>
          <w:bCs/>
          <w:i/>
          <w:iCs/>
          <w:color w:val="auto"/>
          <w:sz w:val="22"/>
          <w:szCs w:val="22"/>
          <w:lang w:val="en-US" w:eastAsia="en-US" w:bidi="ar-SA"/>
        </w:rPr>
      </w:pPr>
      <w:r>
        <w:rPr>
          <w:rFonts w:hint="default" w:ascii="Times New Roman Bold Italic" w:hAnsi="Times New Roman Bold Italic" w:cs="Times New Roman Bold Italic"/>
          <w:i/>
          <w:iCs/>
          <w:color w:val="auto"/>
          <w:sz w:val="22"/>
          <w:szCs w:val="22"/>
          <w:lang w:val="en-US" w:eastAsia="zh-CN"/>
        </w:rPr>
        <w:t>Also including sleep state of LPR if supported.</w:t>
      </w:r>
    </w:p>
    <w:p w14:paraId="06892A49">
      <w:pPr>
        <w:keepNext w:val="0"/>
        <w:keepLines w:val="0"/>
        <w:widowControl/>
        <w:numPr>
          <w:ilvl w:val="0"/>
          <w:numId w:val="0"/>
        </w:numPr>
        <w:suppressLineNumbers w:val="0"/>
        <w:jc w:val="both"/>
        <w:rPr>
          <w:rFonts w:hint="default" w:ascii="Times New Roman Bold Italic" w:hAnsi="Times New Roman Bold Italic" w:cs="Times New Roman Bold Italic"/>
          <w:i/>
          <w:iCs/>
          <w:color w:val="auto"/>
          <w:sz w:val="22"/>
          <w:szCs w:val="22"/>
          <w:lang w:val="en-US" w:eastAsia="zh-CN"/>
        </w:rPr>
      </w:pPr>
      <w:r>
        <w:rPr>
          <w:rFonts w:hint="default" w:ascii="Times New Roman Bold Italic" w:hAnsi="Times New Roman Bold Italic" w:cs="Times New Roman Bold Italic"/>
          <w:i/>
          <w:iCs/>
          <w:color w:val="auto"/>
          <w:sz w:val="22"/>
          <w:szCs w:val="22"/>
          <w:lang w:val="en-US" w:eastAsia="zh-CN"/>
        </w:rPr>
        <w:t>-- Active LPR</w:t>
      </w:r>
    </w:p>
    <w:p w14:paraId="27128090">
      <w:pPr>
        <w:pStyle w:val="76"/>
        <w:numPr>
          <w:ilvl w:val="0"/>
          <w:numId w:val="19"/>
        </w:numPr>
        <w:ind w:left="840" w:leftChars="0" w:hanging="420" w:firstLineChars="0"/>
        <w:rPr>
          <w:rFonts w:hint="default" w:ascii="Times New Roman Bold Italic" w:hAnsi="Times New Roman Bold Italic" w:cs="Times New Roman Bold Italic"/>
          <w:i/>
          <w:iCs/>
          <w:color w:val="auto"/>
          <w:sz w:val="22"/>
          <w:szCs w:val="22"/>
          <w:lang w:val="en-US" w:eastAsia="zh-CN"/>
        </w:rPr>
      </w:pPr>
      <w:r>
        <w:rPr>
          <w:rFonts w:hint="default" w:ascii="Times New Roman Bold Italic" w:hAnsi="Times New Roman Bold Italic" w:cs="Times New Roman Bold Italic"/>
          <w:i/>
          <w:iCs/>
          <w:color w:val="auto"/>
          <w:sz w:val="22"/>
          <w:szCs w:val="22"/>
          <w:lang w:val="en-US" w:eastAsia="zh-CN"/>
        </w:rPr>
        <w:t>There is neither DL transmission nor UL reception for main radio.</w:t>
      </w:r>
    </w:p>
    <w:p w14:paraId="014B6725">
      <w:pPr>
        <w:pStyle w:val="76"/>
        <w:numPr>
          <w:ilvl w:val="0"/>
          <w:numId w:val="19"/>
        </w:numPr>
        <w:ind w:left="840" w:leftChars="0" w:hanging="420" w:firstLineChars="0"/>
        <w:rPr>
          <w:rFonts w:hint="default" w:ascii="Times New Roman Bold Italic" w:hAnsi="Times New Roman Bold Italic" w:cs="Times New Roman Bold Italic"/>
          <w:i/>
          <w:iCs/>
          <w:color w:val="auto"/>
          <w:sz w:val="22"/>
          <w:szCs w:val="22"/>
          <w:lang w:val="en-US"/>
        </w:rPr>
      </w:pPr>
      <w:r>
        <w:rPr>
          <w:rFonts w:hint="default" w:ascii="Times New Roman Bold Italic" w:hAnsi="Times New Roman Bold Italic" w:cs="Times New Roman Bold Italic"/>
          <w:i/>
          <w:iCs/>
          <w:color w:val="auto"/>
          <w:sz w:val="22"/>
          <w:szCs w:val="22"/>
          <w:lang w:val="en-US"/>
        </w:rPr>
        <w:t>There is only for DL transmission or UL reception for LPR</w:t>
      </w:r>
      <w:r>
        <w:rPr>
          <w:rFonts w:hint="default" w:ascii="Times New Roman Bold Italic" w:hAnsi="Times New Roman Bold Italic" w:cs="Times New Roman Bold Italic"/>
          <w:i/>
          <w:iCs/>
          <w:color w:val="auto"/>
          <w:sz w:val="22"/>
          <w:szCs w:val="22"/>
          <w:lang w:val="en-US" w:eastAsia="zh-CN"/>
        </w:rPr>
        <w:t xml:space="preserve"> if supported.</w:t>
      </w:r>
    </w:p>
    <w:p w14:paraId="586116E9">
      <w:pPr>
        <w:pStyle w:val="76"/>
        <w:numPr>
          <w:ilvl w:val="0"/>
          <w:numId w:val="19"/>
        </w:numPr>
        <w:ind w:left="840" w:leftChars="0" w:hanging="420" w:firstLineChars="0"/>
        <w:rPr>
          <w:rFonts w:hint="default" w:ascii="Times New Roman Bold Italic" w:hAnsi="Times New Roman Bold Italic" w:cs="Times New Roman Bold Italic"/>
          <w:i/>
          <w:iCs/>
          <w:color w:val="auto"/>
          <w:sz w:val="22"/>
          <w:szCs w:val="22"/>
          <w:lang w:val="en-US"/>
        </w:rPr>
      </w:pPr>
      <w:r>
        <w:rPr>
          <w:rFonts w:hint="default" w:ascii="Times New Roman Bold Italic" w:hAnsi="Times New Roman Bold Italic" w:cs="Times New Roman Bold Italic"/>
          <w:i/>
          <w:iCs/>
          <w:color w:val="auto"/>
          <w:sz w:val="22"/>
          <w:szCs w:val="22"/>
          <w:lang w:val="en-US" w:eastAsia="zh-CN"/>
        </w:rPr>
        <w:t>No need to consider additional transition energy E and total transition time T.</w:t>
      </w:r>
    </w:p>
    <w:p w14:paraId="03A815A7">
      <w:pPr>
        <w:numPr>
          <w:ilvl w:val="0"/>
          <w:numId w:val="0"/>
        </w:numPr>
        <w:outlineLvl w:val="9"/>
        <w:rPr>
          <w:rFonts w:hint="eastAsia" w:ascii="Times New Roman Bold Italic" w:hAnsi="Times New Roman Bold Italic" w:eastAsia="等线" w:cs="Times New Roman Bold Italic"/>
          <w:b/>
          <w:bCs/>
          <w:i/>
          <w:iCs/>
          <w:highlight w:val="yellow"/>
          <w:u w:val="single"/>
          <w:lang w:val="en-US" w:eastAsia="zh-CN"/>
        </w:rPr>
      </w:pPr>
    </w:p>
    <w:p w14:paraId="7916AF13">
      <w:pPr>
        <w:pStyle w:val="5"/>
        <w:rPr>
          <w:rFonts w:hint="default" w:ascii="Times New Roman Bold Italic" w:hAnsi="Times New Roman Bold Italic" w:cs="Times New Roman Bold Italic"/>
          <w:b/>
          <w:bCs/>
          <w:i/>
          <w:iCs/>
          <w:sz w:val="22"/>
          <w:szCs w:val="22"/>
          <w:lang w:val="en-US" w:eastAsia="zh-CN"/>
        </w:rPr>
      </w:pPr>
      <w:r>
        <w:rPr>
          <w:rFonts w:hint="eastAsia" w:ascii="Times New Roman Bold Italic" w:hAnsi="Times New Roman Bold Italic" w:cs="Times New Roman Bold Italic"/>
          <w:b/>
          <w:bCs/>
          <w:i/>
          <w:iCs/>
          <w:sz w:val="22"/>
          <w:szCs w:val="22"/>
          <w:lang w:val="en-US" w:eastAsia="zh-CN"/>
        </w:rPr>
        <w:t>Proposal</w:t>
      </w:r>
      <w:r>
        <w:rPr>
          <w:rFonts w:hint="default" w:ascii="Times New Roman Bold Italic" w:hAnsi="Times New Roman Bold Italic" w:cs="Times New Roman Bold Italic"/>
          <w:b/>
          <w:bCs/>
          <w:i/>
          <w:iCs/>
          <w:sz w:val="22"/>
          <w:szCs w:val="22"/>
          <w:lang w:val="en-US" w:eastAsia="zh-CN"/>
        </w:rPr>
        <w:t xml:space="preserve"> 10: Support Cat.2 as baseline for 6G EE study and evaluation, and consider new Cat 3 as extended model for 6G EE. </w:t>
      </w:r>
    </w:p>
    <w:p w14:paraId="7E9682B0">
      <w:pPr>
        <w:pStyle w:val="5"/>
        <w:rPr>
          <w:rFonts w:hint="default" w:ascii="Times New Roman Bold Italic" w:hAnsi="Times New Roman Bold Italic" w:cs="Times New Roman Bold Italic"/>
          <w:b/>
          <w:bCs/>
          <w:i/>
          <w:iCs/>
          <w:sz w:val="22"/>
          <w:szCs w:val="22"/>
          <w:lang w:val="en-US" w:eastAsia="zh-CN"/>
        </w:rPr>
      </w:pPr>
      <w:r>
        <w:rPr>
          <w:rFonts w:hint="default" w:ascii="Times New Roman Bold Italic" w:hAnsi="Times New Roman Bold Italic" w:cs="Times New Roman Bold Italic"/>
          <w:b/>
          <w:bCs/>
          <w:i/>
          <w:iCs/>
          <w:sz w:val="22"/>
          <w:szCs w:val="22"/>
          <w:lang w:val="en-US" w:eastAsia="zh-CN"/>
        </w:rPr>
        <w:t>Proposal 11: For Cat 2 and Cat 3, update TR 38.864</w:t>
      </w:r>
      <w:r>
        <w:rPr>
          <w:rFonts w:hint="default" w:ascii="Times New Roman Bold Italic" w:hAnsi="Times New Roman Bold Italic" w:eastAsia="宋体" w:cs="Times New Roman Bold Italic"/>
          <w:b/>
          <w:bCs/>
          <w:i/>
          <w:iCs/>
          <w:sz w:val="22"/>
          <w:szCs w:val="22"/>
          <w:lang w:val="en-US" w:eastAsia="zh-CN"/>
        </w:rPr>
        <w:t xml:space="preserve"> relative power values P</w:t>
      </w:r>
      <w:r>
        <w:rPr>
          <w:rFonts w:hint="default" w:ascii="Times New Roman Bold Italic" w:hAnsi="Times New Roman Bold Italic" w:cs="Times New Roman Bold Italic"/>
          <w:b/>
          <w:bCs/>
          <w:i/>
          <w:iCs/>
          <w:sz w:val="22"/>
          <w:szCs w:val="22"/>
          <w:lang w:val="en-US" w:eastAsia="zh-CN"/>
        </w:rPr>
        <w:t xml:space="preserve"> as below</w:t>
      </w:r>
    </w:p>
    <w:p w14:paraId="2BD0E39E">
      <w:pPr>
        <w:pStyle w:val="5"/>
        <w:jc w:val="center"/>
        <w:rPr>
          <w:rFonts w:hint="default" w:ascii="Times New Roman Italic" w:hAnsi="Times New Roman Italic" w:cs="Times New Roman Italic"/>
          <w:i/>
          <w:iCs/>
          <w:lang w:val="en-US"/>
        </w:rPr>
      </w:pPr>
      <w:r>
        <w:rPr>
          <w:rFonts w:hint="default" w:ascii="Times New Roman Italic" w:hAnsi="Times New Roman Italic" w:cs="Times New Roman Italic"/>
          <w:i/>
          <w:iCs/>
          <w:lang w:val="en-US"/>
        </w:rPr>
        <w:t>Table 3: Relative power values P</w:t>
      </w:r>
      <w:r>
        <w:rPr>
          <w:rFonts w:hint="eastAsia" w:ascii="Times New Roman Italic" w:hAnsi="Times New Roman Italic" w:cs="Times New Roman Italic"/>
          <w:i/>
          <w:iCs/>
          <w:lang w:val="en-US" w:eastAsia="zh-CN"/>
        </w:rPr>
        <w:t xml:space="preserve"> </w:t>
      </w:r>
      <w:r>
        <w:rPr>
          <w:rFonts w:hint="default" w:ascii="Times New Roman Italic" w:hAnsi="Times New Roman Italic" w:cs="Times New Roman Italic"/>
          <w:i/>
          <w:iCs/>
          <w:lang w:val="en-US"/>
        </w:rPr>
        <w:t>for reference configuration for category 2 or NEW BS category (category 3)</w:t>
      </w:r>
    </w:p>
    <w:tbl>
      <w:tblPr>
        <w:tblStyle w:val="27"/>
        <w:tblW w:w="8999" w:type="dxa"/>
        <w:jc w:val="cente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1552"/>
        <w:gridCol w:w="879"/>
        <w:gridCol w:w="862"/>
        <w:gridCol w:w="831"/>
        <w:gridCol w:w="1088"/>
        <w:gridCol w:w="929"/>
        <w:gridCol w:w="1018"/>
        <w:gridCol w:w="939"/>
        <w:gridCol w:w="901"/>
      </w:tblGrid>
      <w:tr w14:paraId="0813574A">
        <w:trPr>
          <w:trHeight w:val="20" w:hRule="atLeast"/>
          <w:jc w:val="center"/>
        </w:trPr>
        <w:tc>
          <w:tcPr>
            <w:tcW w:w="0" w:type="auto"/>
            <w:vMerge w:val="restart"/>
            <w:vAlign w:val="center"/>
          </w:tcPr>
          <w:p w14:paraId="27F90BB0">
            <w:pPr>
              <w:pStyle w:val="77"/>
              <w:rPr>
                <w:rFonts w:hint="eastAsia" w:eastAsiaTheme="minorEastAsia"/>
                <w:lang w:val="en-US" w:eastAsia="zh-CN"/>
              </w:rPr>
            </w:pPr>
            <w:r>
              <w:t>Power state</w:t>
            </w:r>
          </w:p>
        </w:tc>
        <w:tc>
          <w:tcPr>
            <w:tcW w:w="3600" w:type="dxa"/>
            <w:gridSpan w:val="4"/>
            <w:vAlign w:val="center"/>
          </w:tcPr>
          <w:p w14:paraId="1C9F203A">
            <w:pPr>
              <w:pStyle w:val="77"/>
            </w:pPr>
            <w:r>
              <w:t>BS Category 2</w:t>
            </w:r>
          </w:p>
        </w:tc>
        <w:tc>
          <w:tcPr>
            <w:tcW w:w="3725" w:type="dxa"/>
            <w:gridSpan w:val="4"/>
            <w:vAlign w:val="center"/>
          </w:tcPr>
          <w:p w14:paraId="31462B99">
            <w:pPr>
              <w:pStyle w:val="77"/>
              <w:rPr>
                <w:rFonts w:hint="eastAsia" w:eastAsiaTheme="minorEastAsia"/>
                <w:color w:val="FF0000"/>
                <w:lang w:val="en-US" w:eastAsia="zh-CN"/>
              </w:rPr>
            </w:pPr>
            <w:r>
              <w:rPr>
                <w:color w:val="FF0000"/>
              </w:rPr>
              <w:t xml:space="preserve">BS Category </w:t>
            </w:r>
            <w:r>
              <w:rPr>
                <w:rFonts w:hint="eastAsia"/>
                <w:color w:val="FF0000"/>
                <w:lang w:val="en-US" w:eastAsia="zh-CN"/>
              </w:rPr>
              <w:t>3</w:t>
            </w:r>
          </w:p>
        </w:tc>
      </w:tr>
      <w:tr w14:paraId="0C5C48CC">
        <w:trPr>
          <w:trHeight w:val="20" w:hRule="atLeast"/>
          <w:jc w:val="center"/>
        </w:trPr>
        <w:tc>
          <w:tcPr>
            <w:tcW w:w="0" w:type="auto"/>
            <w:vMerge w:val="continue"/>
            <w:vAlign w:val="center"/>
          </w:tcPr>
          <w:p w14:paraId="71D3DE47">
            <w:pPr>
              <w:pStyle w:val="77"/>
            </w:pPr>
          </w:p>
        </w:tc>
        <w:tc>
          <w:tcPr>
            <w:tcW w:w="864" w:type="dxa"/>
            <w:vAlign w:val="center"/>
          </w:tcPr>
          <w:p w14:paraId="5E9E8C6E">
            <w:pPr>
              <w:pStyle w:val="77"/>
            </w:pPr>
            <w:r>
              <w:rPr>
                <w:rFonts w:hint="eastAsia"/>
              </w:rPr>
              <w:t>S</w:t>
            </w:r>
            <w:r>
              <w:t>et 1</w:t>
            </w:r>
          </w:p>
        </w:tc>
        <w:tc>
          <w:tcPr>
            <w:tcW w:w="848" w:type="dxa"/>
            <w:vAlign w:val="center"/>
          </w:tcPr>
          <w:p w14:paraId="327E11F1">
            <w:pPr>
              <w:pStyle w:val="77"/>
            </w:pPr>
            <w:r>
              <w:t>Set 2</w:t>
            </w:r>
          </w:p>
        </w:tc>
        <w:tc>
          <w:tcPr>
            <w:tcW w:w="818" w:type="dxa"/>
            <w:vAlign w:val="center"/>
          </w:tcPr>
          <w:p w14:paraId="1167BBD2">
            <w:pPr>
              <w:pStyle w:val="77"/>
            </w:pPr>
            <w:r>
              <w:t>Set 3</w:t>
            </w:r>
          </w:p>
        </w:tc>
        <w:tc>
          <w:tcPr>
            <w:tcW w:w="1070" w:type="dxa"/>
            <w:vAlign w:val="center"/>
          </w:tcPr>
          <w:p w14:paraId="575F057E">
            <w:pPr>
              <w:pStyle w:val="77"/>
              <w:rPr>
                <w:rFonts w:hint="default"/>
                <w:lang w:val="en-US"/>
              </w:rPr>
            </w:pPr>
            <w:r>
              <w:rPr>
                <w:rFonts w:hint="default"/>
                <w:color w:val="FF0000"/>
                <w:lang w:val="en-US"/>
              </w:rPr>
              <w:t>Set 4</w:t>
            </w:r>
          </w:p>
        </w:tc>
        <w:tc>
          <w:tcPr>
            <w:tcW w:w="914" w:type="dxa"/>
            <w:shd w:val="clear" w:color="auto" w:fill="auto"/>
            <w:vAlign w:val="center"/>
          </w:tcPr>
          <w:p w14:paraId="5B8E3FFF">
            <w:pPr>
              <w:pStyle w:val="77"/>
              <w:rPr>
                <w:rFonts w:ascii="Arial" w:hAnsi="Arial" w:cs="Times New Roman" w:eastAsiaTheme="minorEastAsia"/>
                <w:b/>
                <w:color w:val="FF0000"/>
                <w:sz w:val="18"/>
                <w:szCs w:val="20"/>
                <w:lang w:val="en-GB" w:eastAsia="en-US" w:bidi="ar-SA"/>
              </w:rPr>
            </w:pPr>
            <w:r>
              <w:rPr>
                <w:rFonts w:hint="eastAsia"/>
                <w:color w:val="FF0000"/>
              </w:rPr>
              <w:t>S</w:t>
            </w:r>
            <w:r>
              <w:rPr>
                <w:color w:val="FF0000"/>
              </w:rPr>
              <w:t>et 1</w:t>
            </w:r>
          </w:p>
        </w:tc>
        <w:tc>
          <w:tcPr>
            <w:tcW w:w="1001" w:type="dxa"/>
            <w:shd w:val="clear" w:color="auto" w:fill="auto"/>
            <w:vAlign w:val="center"/>
          </w:tcPr>
          <w:p w14:paraId="52238A39">
            <w:pPr>
              <w:pStyle w:val="77"/>
              <w:rPr>
                <w:rFonts w:ascii="Arial" w:hAnsi="Arial" w:cs="Times New Roman" w:eastAsiaTheme="minorEastAsia"/>
                <w:b/>
                <w:color w:val="FF0000"/>
                <w:sz w:val="18"/>
                <w:szCs w:val="20"/>
                <w:lang w:val="en-GB" w:eastAsia="en-US" w:bidi="ar-SA"/>
              </w:rPr>
            </w:pPr>
            <w:r>
              <w:rPr>
                <w:color w:val="FF0000"/>
              </w:rPr>
              <w:t>Set 2</w:t>
            </w:r>
          </w:p>
        </w:tc>
        <w:tc>
          <w:tcPr>
            <w:tcW w:w="924" w:type="dxa"/>
            <w:shd w:val="clear" w:color="auto" w:fill="auto"/>
            <w:vAlign w:val="center"/>
          </w:tcPr>
          <w:p w14:paraId="55413D6C">
            <w:pPr>
              <w:pStyle w:val="77"/>
              <w:rPr>
                <w:rFonts w:ascii="Arial" w:hAnsi="Arial" w:cs="Times New Roman" w:eastAsiaTheme="minorEastAsia"/>
                <w:b/>
                <w:color w:val="FF0000"/>
                <w:sz w:val="18"/>
                <w:szCs w:val="20"/>
                <w:lang w:val="en-GB" w:eastAsia="en-US" w:bidi="ar-SA"/>
              </w:rPr>
            </w:pPr>
            <w:r>
              <w:rPr>
                <w:color w:val="FF0000"/>
              </w:rPr>
              <w:t>Set 3</w:t>
            </w:r>
          </w:p>
        </w:tc>
        <w:tc>
          <w:tcPr>
            <w:tcW w:w="886" w:type="dxa"/>
            <w:shd w:val="clear" w:color="auto" w:fill="auto"/>
            <w:vAlign w:val="center"/>
          </w:tcPr>
          <w:p w14:paraId="696A9774">
            <w:pPr>
              <w:pStyle w:val="77"/>
              <w:rPr>
                <w:rFonts w:hint="default" w:ascii="Arial" w:hAnsi="Arial" w:cs="Times New Roman" w:eastAsiaTheme="minorEastAsia"/>
                <w:b/>
                <w:color w:val="FF0000"/>
                <w:sz w:val="18"/>
                <w:szCs w:val="20"/>
                <w:lang w:val="en-US" w:eastAsia="en-US" w:bidi="ar-SA"/>
              </w:rPr>
            </w:pPr>
            <w:r>
              <w:rPr>
                <w:rFonts w:hint="default"/>
                <w:color w:val="FF0000"/>
                <w:lang w:val="en-US"/>
              </w:rPr>
              <w:t>Set 4</w:t>
            </w:r>
          </w:p>
        </w:tc>
      </w:tr>
      <w:tr w14:paraId="36AA3328">
        <w:trPr>
          <w:trHeight w:val="90" w:hRule="atLeast"/>
          <w:jc w:val="center"/>
        </w:trPr>
        <w:tc>
          <w:tcPr>
            <w:tcW w:w="0" w:type="auto"/>
            <w:vAlign w:val="center"/>
          </w:tcPr>
          <w:p w14:paraId="5030AED0">
            <w:pPr>
              <w:pStyle w:val="78"/>
              <w:rPr>
                <w:rFonts w:hint="default" w:eastAsiaTheme="minorEastAsia"/>
                <w:lang w:val="en-US" w:eastAsia="zh-CN"/>
              </w:rPr>
            </w:pPr>
            <w:r>
              <w:rPr>
                <w:rFonts w:hint="eastAsia"/>
                <w:color w:val="FF0000"/>
                <w:lang w:val="en-US" w:eastAsia="zh-CN"/>
              </w:rPr>
              <w:t>Ultra</w:t>
            </w:r>
            <w:r>
              <w:rPr>
                <w:rFonts w:hint="default"/>
                <w:color w:val="FF0000"/>
                <w:lang w:val="en-US" w:eastAsia="zh-CN"/>
              </w:rPr>
              <w:t xml:space="preserve"> deep sleep</w:t>
            </w:r>
          </w:p>
        </w:tc>
        <w:tc>
          <w:tcPr>
            <w:tcW w:w="3600" w:type="dxa"/>
            <w:gridSpan w:val="4"/>
            <w:vAlign w:val="center"/>
          </w:tcPr>
          <w:p w14:paraId="7D403867">
            <w:pPr>
              <w:pStyle w:val="78"/>
              <w:rPr>
                <w:rFonts w:hint="default" w:eastAsiaTheme="minorEastAsia"/>
                <w:lang w:val="en-US" w:eastAsia="zh-CN"/>
              </w:rPr>
            </w:pPr>
            <w:r>
              <w:rPr>
                <w:rFonts w:hint="eastAsia"/>
                <w:color w:val="FF0000"/>
                <w:lang w:val="en-US" w:eastAsia="zh-CN"/>
              </w:rPr>
              <w:t>--</w:t>
            </w:r>
          </w:p>
        </w:tc>
        <w:tc>
          <w:tcPr>
            <w:tcW w:w="3725" w:type="dxa"/>
            <w:gridSpan w:val="4"/>
            <w:vAlign w:val="center"/>
          </w:tcPr>
          <w:p w14:paraId="3D2E345F">
            <w:pPr>
              <w:pStyle w:val="78"/>
              <w:rPr>
                <w:rFonts w:hint="default" w:eastAsiaTheme="minorEastAsia"/>
                <w:color w:val="FF0000"/>
                <w:lang w:val="en-US" w:eastAsia="zh-CN"/>
              </w:rPr>
            </w:pPr>
            <w:r>
              <w:rPr>
                <w:rFonts w:hint="default"/>
                <w:color w:val="FF0000"/>
                <w:lang w:val="en-US" w:eastAsia="zh-CN"/>
              </w:rPr>
              <w:t>[</w:t>
            </w:r>
            <w:r>
              <w:rPr>
                <w:rFonts w:hint="eastAsia"/>
                <w:color w:val="FF0000"/>
                <w:lang w:val="en-US" w:eastAsia="zh-CN"/>
              </w:rPr>
              <w:t>0.1</w:t>
            </w:r>
            <w:r>
              <w:rPr>
                <w:rFonts w:hint="default"/>
                <w:color w:val="FF0000"/>
                <w:lang w:val="en-US" w:eastAsia="zh-CN"/>
              </w:rPr>
              <w:t>]</w:t>
            </w:r>
          </w:p>
        </w:tc>
      </w:tr>
      <w:tr w14:paraId="0E02440A">
        <w:trPr>
          <w:trHeight w:val="20" w:hRule="atLeast"/>
          <w:jc w:val="center"/>
        </w:trPr>
        <w:tc>
          <w:tcPr>
            <w:tcW w:w="0" w:type="auto"/>
            <w:vAlign w:val="center"/>
          </w:tcPr>
          <w:p w14:paraId="7295D756">
            <w:pPr>
              <w:pStyle w:val="78"/>
            </w:pPr>
            <w:r>
              <w:t>Deep sleep</w:t>
            </w:r>
          </w:p>
        </w:tc>
        <w:tc>
          <w:tcPr>
            <w:tcW w:w="3600" w:type="dxa"/>
            <w:gridSpan w:val="4"/>
            <w:vAlign w:val="center"/>
          </w:tcPr>
          <w:p w14:paraId="6A283195">
            <w:pPr>
              <w:pStyle w:val="78"/>
            </w:pPr>
            <w:r>
              <w:t>1</w:t>
            </w:r>
          </w:p>
        </w:tc>
        <w:tc>
          <w:tcPr>
            <w:tcW w:w="3725" w:type="dxa"/>
            <w:gridSpan w:val="4"/>
            <w:vAlign w:val="center"/>
          </w:tcPr>
          <w:p w14:paraId="2CB45310">
            <w:pPr>
              <w:pStyle w:val="78"/>
              <w:rPr>
                <w:rFonts w:hint="default" w:eastAsiaTheme="minorEastAsia"/>
                <w:color w:val="FF0000"/>
                <w:lang w:val="en-US" w:eastAsia="zh-CN"/>
              </w:rPr>
            </w:pPr>
            <w:r>
              <w:rPr>
                <w:rFonts w:hint="default"/>
                <w:color w:val="FF0000"/>
                <w:lang w:val="en-US" w:eastAsia="zh-CN"/>
              </w:rPr>
              <w:t>1</w:t>
            </w:r>
          </w:p>
        </w:tc>
      </w:tr>
      <w:tr w14:paraId="43E55619">
        <w:trPr>
          <w:trHeight w:val="20" w:hRule="atLeast"/>
          <w:jc w:val="center"/>
        </w:trPr>
        <w:tc>
          <w:tcPr>
            <w:tcW w:w="0" w:type="auto"/>
            <w:vAlign w:val="center"/>
          </w:tcPr>
          <w:p w14:paraId="578A0158">
            <w:pPr>
              <w:pStyle w:val="78"/>
            </w:pPr>
            <w:r>
              <w:t>Light sleep</w:t>
            </w:r>
          </w:p>
        </w:tc>
        <w:tc>
          <w:tcPr>
            <w:tcW w:w="3600" w:type="dxa"/>
            <w:gridSpan w:val="4"/>
            <w:vAlign w:val="center"/>
          </w:tcPr>
          <w:p w14:paraId="50434AB3">
            <w:pPr>
              <w:pStyle w:val="78"/>
            </w:pPr>
            <w:r>
              <w:t>2.1</w:t>
            </w:r>
          </w:p>
        </w:tc>
        <w:tc>
          <w:tcPr>
            <w:tcW w:w="914" w:type="dxa"/>
            <w:vAlign w:val="center"/>
          </w:tcPr>
          <w:p w14:paraId="29AD7B12">
            <w:pPr>
              <w:pStyle w:val="78"/>
              <w:rPr>
                <w:rFonts w:hint="default"/>
                <w:color w:val="FF0000"/>
                <w:lang w:val="en-US"/>
              </w:rPr>
            </w:pPr>
            <w:r>
              <w:rPr>
                <w:rFonts w:hint="default"/>
                <w:color w:val="FF0000"/>
                <w:lang w:val="en-US"/>
              </w:rPr>
              <w:t>1.3</w:t>
            </w:r>
          </w:p>
        </w:tc>
        <w:tc>
          <w:tcPr>
            <w:tcW w:w="1001" w:type="dxa"/>
            <w:vAlign w:val="center"/>
          </w:tcPr>
          <w:p w14:paraId="728FCC82">
            <w:pPr>
              <w:pStyle w:val="78"/>
              <w:rPr>
                <w:rFonts w:hint="default"/>
                <w:color w:val="FF0000"/>
                <w:lang w:val="en-US"/>
              </w:rPr>
            </w:pPr>
            <w:r>
              <w:rPr>
                <w:rFonts w:hint="default"/>
                <w:color w:val="FF0000"/>
                <w:lang w:val="en-US"/>
              </w:rPr>
              <w:t>1.2</w:t>
            </w:r>
          </w:p>
        </w:tc>
        <w:tc>
          <w:tcPr>
            <w:tcW w:w="924" w:type="dxa"/>
            <w:vAlign w:val="center"/>
          </w:tcPr>
          <w:p w14:paraId="63C86F49">
            <w:pPr>
              <w:pStyle w:val="78"/>
              <w:rPr>
                <w:rFonts w:hint="default"/>
                <w:color w:val="FF0000"/>
                <w:lang w:val="en-US"/>
              </w:rPr>
            </w:pPr>
            <w:r>
              <w:rPr>
                <w:rFonts w:hint="default"/>
                <w:color w:val="FF0000"/>
                <w:lang w:val="en-US"/>
              </w:rPr>
              <w:t>1.2</w:t>
            </w:r>
          </w:p>
        </w:tc>
        <w:tc>
          <w:tcPr>
            <w:tcW w:w="886" w:type="dxa"/>
            <w:vAlign w:val="center"/>
          </w:tcPr>
          <w:p w14:paraId="2310B008">
            <w:pPr>
              <w:pStyle w:val="78"/>
              <w:rPr>
                <w:rFonts w:hint="default"/>
                <w:color w:val="FF0000"/>
                <w:lang w:val="en-US"/>
              </w:rPr>
            </w:pPr>
            <w:r>
              <w:rPr>
                <w:rFonts w:hint="default"/>
                <w:color w:val="FF0000"/>
                <w:lang w:val="en-US"/>
              </w:rPr>
              <w:t>1.2</w:t>
            </w:r>
          </w:p>
        </w:tc>
      </w:tr>
      <w:tr w14:paraId="6AD8CF6D">
        <w:trPr>
          <w:trHeight w:val="20" w:hRule="atLeast"/>
          <w:jc w:val="center"/>
        </w:trPr>
        <w:tc>
          <w:tcPr>
            <w:tcW w:w="0" w:type="auto"/>
            <w:vAlign w:val="center"/>
          </w:tcPr>
          <w:p w14:paraId="756DBC2F">
            <w:pPr>
              <w:pStyle w:val="78"/>
            </w:pPr>
            <w:r>
              <w:t>Micro sleep</w:t>
            </w:r>
          </w:p>
        </w:tc>
        <w:tc>
          <w:tcPr>
            <w:tcW w:w="864" w:type="dxa"/>
            <w:vAlign w:val="center"/>
          </w:tcPr>
          <w:p w14:paraId="1E8EB492">
            <w:pPr>
              <w:pStyle w:val="78"/>
            </w:pPr>
            <w:r>
              <w:t>5.5</w:t>
            </w:r>
          </w:p>
        </w:tc>
        <w:tc>
          <w:tcPr>
            <w:tcW w:w="848" w:type="dxa"/>
            <w:vAlign w:val="center"/>
          </w:tcPr>
          <w:p w14:paraId="2EB481AF">
            <w:pPr>
              <w:pStyle w:val="78"/>
            </w:pPr>
            <w:r>
              <w:t>5</w:t>
            </w:r>
          </w:p>
        </w:tc>
        <w:tc>
          <w:tcPr>
            <w:tcW w:w="818" w:type="dxa"/>
            <w:vAlign w:val="center"/>
          </w:tcPr>
          <w:p w14:paraId="02F99CBA">
            <w:pPr>
              <w:pStyle w:val="78"/>
            </w:pPr>
            <w:r>
              <w:rPr>
                <w:rFonts w:hint="eastAsia"/>
              </w:rPr>
              <w:t>3</w:t>
            </w:r>
          </w:p>
        </w:tc>
        <w:tc>
          <w:tcPr>
            <w:tcW w:w="1070" w:type="dxa"/>
            <w:vAlign w:val="center"/>
          </w:tcPr>
          <w:p w14:paraId="7D15CDC3">
            <w:pPr>
              <w:pStyle w:val="78"/>
              <w:rPr>
                <w:rFonts w:hint="default"/>
                <w:color w:val="FF0000"/>
                <w:lang w:val="en-US"/>
              </w:rPr>
            </w:pPr>
            <w:r>
              <w:rPr>
                <w:rFonts w:hint="default"/>
                <w:color w:val="FF0000"/>
                <w:lang w:val="en-US"/>
              </w:rPr>
              <w:t>TBD</w:t>
            </w:r>
          </w:p>
        </w:tc>
        <w:tc>
          <w:tcPr>
            <w:tcW w:w="914" w:type="dxa"/>
            <w:vAlign w:val="center"/>
          </w:tcPr>
          <w:p w14:paraId="17581C94">
            <w:pPr>
              <w:pStyle w:val="78"/>
              <w:rPr>
                <w:rFonts w:hint="default"/>
                <w:color w:val="FF0000"/>
                <w:lang w:val="en-US"/>
              </w:rPr>
            </w:pPr>
            <w:r>
              <w:rPr>
                <w:rFonts w:hint="default"/>
                <w:color w:val="FF0000"/>
                <w:lang w:val="en-US"/>
              </w:rPr>
              <w:t>6.0</w:t>
            </w:r>
          </w:p>
        </w:tc>
        <w:tc>
          <w:tcPr>
            <w:tcW w:w="1001" w:type="dxa"/>
            <w:vAlign w:val="center"/>
          </w:tcPr>
          <w:p w14:paraId="041E86D0">
            <w:pPr>
              <w:pStyle w:val="78"/>
              <w:rPr>
                <w:rFonts w:hint="default"/>
                <w:color w:val="FF0000"/>
                <w:lang w:val="en-US"/>
              </w:rPr>
            </w:pPr>
            <w:r>
              <w:rPr>
                <w:rFonts w:hint="default"/>
                <w:color w:val="FF0000"/>
                <w:lang w:val="en-US"/>
              </w:rPr>
              <w:t>5.5</w:t>
            </w:r>
          </w:p>
        </w:tc>
        <w:tc>
          <w:tcPr>
            <w:tcW w:w="924" w:type="dxa"/>
            <w:vAlign w:val="center"/>
          </w:tcPr>
          <w:p w14:paraId="25569D2A">
            <w:pPr>
              <w:pStyle w:val="78"/>
              <w:rPr>
                <w:rFonts w:hint="default"/>
                <w:color w:val="FF0000"/>
                <w:lang w:val="en-US"/>
              </w:rPr>
            </w:pPr>
            <w:r>
              <w:rPr>
                <w:rFonts w:hint="default"/>
                <w:color w:val="FF0000"/>
                <w:lang w:val="en-US"/>
              </w:rPr>
              <w:t>4.0</w:t>
            </w:r>
          </w:p>
        </w:tc>
        <w:tc>
          <w:tcPr>
            <w:tcW w:w="886" w:type="dxa"/>
            <w:vAlign w:val="center"/>
          </w:tcPr>
          <w:p w14:paraId="6F5584A1">
            <w:pPr>
              <w:pStyle w:val="78"/>
              <w:rPr>
                <w:rFonts w:hint="default"/>
                <w:color w:val="FF0000"/>
                <w:lang w:val="en-US"/>
              </w:rPr>
            </w:pPr>
            <w:r>
              <w:rPr>
                <w:rFonts w:hint="default"/>
                <w:color w:val="FF0000"/>
                <w:lang w:val="en-US"/>
              </w:rPr>
              <w:t>8.0</w:t>
            </w:r>
          </w:p>
        </w:tc>
      </w:tr>
      <w:tr w14:paraId="241161EC">
        <w:trPr>
          <w:trHeight w:val="20" w:hRule="atLeast"/>
          <w:jc w:val="center"/>
        </w:trPr>
        <w:tc>
          <w:tcPr>
            <w:tcW w:w="0" w:type="auto"/>
            <w:vAlign w:val="center"/>
          </w:tcPr>
          <w:p w14:paraId="6B125F6A">
            <w:pPr>
              <w:pStyle w:val="78"/>
            </w:pPr>
            <w:r>
              <w:t>Active DL</w:t>
            </w:r>
          </w:p>
        </w:tc>
        <w:tc>
          <w:tcPr>
            <w:tcW w:w="864" w:type="dxa"/>
            <w:vAlign w:val="center"/>
          </w:tcPr>
          <w:p w14:paraId="0AD30317">
            <w:pPr>
              <w:pStyle w:val="78"/>
            </w:pPr>
            <w:r>
              <w:t>32</w:t>
            </w:r>
          </w:p>
        </w:tc>
        <w:tc>
          <w:tcPr>
            <w:tcW w:w="848" w:type="dxa"/>
            <w:vAlign w:val="center"/>
          </w:tcPr>
          <w:p w14:paraId="47F512D6">
            <w:pPr>
              <w:pStyle w:val="78"/>
            </w:pPr>
            <w:r>
              <w:t>26</w:t>
            </w:r>
          </w:p>
        </w:tc>
        <w:tc>
          <w:tcPr>
            <w:tcW w:w="818" w:type="dxa"/>
            <w:vAlign w:val="center"/>
          </w:tcPr>
          <w:p w14:paraId="78E8227D">
            <w:pPr>
              <w:pStyle w:val="78"/>
              <w:rPr>
                <w:strike/>
              </w:rPr>
            </w:pPr>
            <w:r>
              <w:t>17.6</w:t>
            </w:r>
          </w:p>
        </w:tc>
        <w:tc>
          <w:tcPr>
            <w:tcW w:w="1070" w:type="dxa"/>
            <w:vAlign w:val="center"/>
          </w:tcPr>
          <w:p w14:paraId="3A0E9ECF">
            <w:pPr>
              <w:pStyle w:val="78"/>
              <w:rPr>
                <w:rFonts w:hint="default"/>
                <w:color w:val="FF0000"/>
                <w:lang w:val="en-US"/>
              </w:rPr>
            </w:pPr>
            <w:r>
              <w:rPr>
                <w:rFonts w:hint="default"/>
                <w:color w:val="FF0000"/>
                <w:lang w:val="en-US"/>
              </w:rPr>
              <w:t>TBD</w:t>
            </w:r>
          </w:p>
        </w:tc>
        <w:tc>
          <w:tcPr>
            <w:tcW w:w="914" w:type="dxa"/>
            <w:vAlign w:val="center"/>
          </w:tcPr>
          <w:p w14:paraId="6D89FE54">
            <w:pPr>
              <w:pStyle w:val="78"/>
              <w:rPr>
                <w:rFonts w:hint="default"/>
                <w:color w:val="FF0000"/>
                <w:lang w:val="en-US"/>
              </w:rPr>
            </w:pPr>
            <w:r>
              <w:rPr>
                <w:rFonts w:hint="default"/>
                <w:color w:val="FF0000"/>
                <w:lang w:val="en-US"/>
              </w:rPr>
              <w:t>35</w:t>
            </w:r>
          </w:p>
        </w:tc>
        <w:tc>
          <w:tcPr>
            <w:tcW w:w="1001" w:type="dxa"/>
            <w:vAlign w:val="center"/>
          </w:tcPr>
          <w:p w14:paraId="5C25C6B4">
            <w:pPr>
              <w:pStyle w:val="78"/>
              <w:rPr>
                <w:rFonts w:hint="default"/>
                <w:color w:val="FF0000"/>
                <w:lang w:val="en-US"/>
              </w:rPr>
            </w:pPr>
            <w:r>
              <w:rPr>
                <w:rFonts w:hint="default"/>
                <w:color w:val="FF0000"/>
                <w:lang w:val="en-US"/>
              </w:rPr>
              <w:t>30</w:t>
            </w:r>
          </w:p>
        </w:tc>
        <w:tc>
          <w:tcPr>
            <w:tcW w:w="924" w:type="dxa"/>
            <w:vAlign w:val="center"/>
          </w:tcPr>
          <w:p w14:paraId="6751CF10">
            <w:pPr>
              <w:pStyle w:val="78"/>
              <w:rPr>
                <w:rFonts w:hint="default"/>
                <w:color w:val="FF0000"/>
                <w:lang w:val="en-US"/>
              </w:rPr>
            </w:pPr>
            <w:r>
              <w:rPr>
                <w:rFonts w:hint="default"/>
                <w:color w:val="FF0000"/>
                <w:lang w:val="en-US"/>
              </w:rPr>
              <w:t>20</w:t>
            </w:r>
          </w:p>
        </w:tc>
        <w:tc>
          <w:tcPr>
            <w:tcW w:w="886" w:type="dxa"/>
            <w:vAlign w:val="center"/>
          </w:tcPr>
          <w:p w14:paraId="2EA112D4">
            <w:pPr>
              <w:pStyle w:val="78"/>
              <w:rPr>
                <w:rFonts w:hint="default"/>
                <w:color w:val="FF0000"/>
                <w:lang w:val="en-US"/>
              </w:rPr>
            </w:pPr>
            <w:r>
              <w:rPr>
                <w:rFonts w:hint="default"/>
                <w:color w:val="FF0000"/>
                <w:lang w:val="en-US"/>
              </w:rPr>
              <w:t>50</w:t>
            </w:r>
          </w:p>
        </w:tc>
      </w:tr>
      <w:tr w14:paraId="3E086963">
        <w:trPr>
          <w:trHeight w:val="20" w:hRule="atLeast"/>
          <w:jc w:val="center"/>
        </w:trPr>
        <w:tc>
          <w:tcPr>
            <w:tcW w:w="0" w:type="auto"/>
            <w:vAlign w:val="center"/>
          </w:tcPr>
          <w:p w14:paraId="189DFF37">
            <w:pPr>
              <w:pStyle w:val="78"/>
            </w:pPr>
            <w:r>
              <w:t>Active UL</w:t>
            </w:r>
          </w:p>
        </w:tc>
        <w:tc>
          <w:tcPr>
            <w:tcW w:w="864" w:type="dxa"/>
            <w:vAlign w:val="center"/>
          </w:tcPr>
          <w:p w14:paraId="6ECA7F77">
            <w:pPr>
              <w:pStyle w:val="78"/>
            </w:pPr>
            <w:r>
              <w:t>6.5</w:t>
            </w:r>
          </w:p>
        </w:tc>
        <w:tc>
          <w:tcPr>
            <w:tcW w:w="848" w:type="dxa"/>
            <w:vAlign w:val="center"/>
          </w:tcPr>
          <w:p w14:paraId="33036F29">
            <w:pPr>
              <w:pStyle w:val="78"/>
            </w:pPr>
            <w:r>
              <w:t>5.8</w:t>
            </w:r>
          </w:p>
        </w:tc>
        <w:tc>
          <w:tcPr>
            <w:tcW w:w="818" w:type="dxa"/>
            <w:vAlign w:val="center"/>
          </w:tcPr>
          <w:p w14:paraId="3599B396">
            <w:pPr>
              <w:pStyle w:val="78"/>
            </w:pPr>
            <w:r>
              <w:rPr>
                <w:rFonts w:hint="eastAsia"/>
              </w:rPr>
              <w:t>4</w:t>
            </w:r>
            <w:r>
              <w:t>.2</w:t>
            </w:r>
          </w:p>
        </w:tc>
        <w:tc>
          <w:tcPr>
            <w:tcW w:w="1070" w:type="dxa"/>
            <w:vAlign w:val="center"/>
          </w:tcPr>
          <w:p w14:paraId="6380D5DA">
            <w:pPr>
              <w:pStyle w:val="78"/>
              <w:rPr>
                <w:rFonts w:hint="default"/>
                <w:color w:val="FF0000"/>
                <w:lang w:val="en-US"/>
              </w:rPr>
            </w:pPr>
            <w:r>
              <w:rPr>
                <w:rFonts w:hint="default"/>
                <w:color w:val="FF0000"/>
                <w:lang w:val="en-US"/>
              </w:rPr>
              <w:t>TBD</w:t>
            </w:r>
          </w:p>
        </w:tc>
        <w:tc>
          <w:tcPr>
            <w:tcW w:w="914" w:type="dxa"/>
            <w:shd w:val="clear" w:color="auto" w:fill="auto"/>
            <w:vAlign w:val="center"/>
          </w:tcPr>
          <w:p w14:paraId="76588845">
            <w:pPr>
              <w:pStyle w:val="78"/>
              <w:rPr>
                <w:rFonts w:hint="eastAsia" w:ascii="Arial" w:hAnsi="Arial" w:cs="Times New Roman" w:eastAsiaTheme="minorEastAsia"/>
                <w:color w:val="FF0000"/>
                <w:sz w:val="18"/>
                <w:szCs w:val="20"/>
                <w:lang w:val="en-US" w:eastAsia="en-US" w:bidi="ar-SA"/>
              </w:rPr>
            </w:pPr>
            <w:r>
              <w:rPr>
                <w:rFonts w:hint="default"/>
                <w:color w:val="FF0000"/>
                <w:lang w:val="en-US"/>
              </w:rPr>
              <w:t>7.0</w:t>
            </w:r>
          </w:p>
        </w:tc>
        <w:tc>
          <w:tcPr>
            <w:tcW w:w="1001" w:type="dxa"/>
            <w:shd w:val="clear" w:color="auto" w:fill="auto"/>
            <w:vAlign w:val="center"/>
          </w:tcPr>
          <w:p w14:paraId="0660E354">
            <w:pPr>
              <w:pStyle w:val="78"/>
              <w:rPr>
                <w:rFonts w:hint="eastAsia" w:ascii="Arial" w:hAnsi="Arial" w:cs="Times New Roman" w:eastAsiaTheme="minorEastAsia"/>
                <w:color w:val="FF0000"/>
                <w:sz w:val="18"/>
                <w:szCs w:val="20"/>
                <w:lang w:val="en-US" w:eastAsia="en-US" w:bidi="ar-SA"/>
              </w:rPr>
            </w:pPr>
            <w:r>
              <w:rPr>
                <w:rFonts w:hint="default"/>
                <w:color w:val="FF0000"/>
                <w:lang w:val="en-US"/>
              </w:rPr>
              <w:t>6.3</w:t>
            </w:r>
          </w:p>
        </w:tc>
        <w:tc>
          <w:tcPr>
            <w:tcW w:w="924" w:type="dxa"/>
            <w:shd w:val="clear" w:color="auto" w:fill="auto"/>
            <w:vAlign w:val="center"/>
          </w:tcPr>
          <w:p w14:paraId="55FE4E73">
            <w:pPr>
              <w:pStyle w:val="78"/>
              <w:rPr>
                <w:rFonts w:hint="eastAsia" w:ascii="Arial" w:hAnsi="Arial" w:cs="Times New Roman" w:eastAsiaTheme="minorEastAsia"/>
                <w:color w:val="FF0000"/>
                <w:sz w:val="18"/>
                <w:szCs w:val="20"/>
                <w:lang w:val="en-US" w:eastAsia="en-US" w:bidi="ar-SA"/>
              </w:rPr>
            </w:pPr>
            <w:r>
              <w:rPr>
                <w:rFonts w:hint="default"/>
                <w:color w:val="FF0000"/>
                <w:lang w:val="en-US"/>
              </w:rPr>
              <w:t>4.5</w:t>
            </w:r>
          </w:p>
        </w:tc>
        <w:tc>
          <w:tcPr>
            <w:tcW w:w="886" w:type="dxa"/>
            <w:shd w:val="clear" w:color="auto" w:fill="auto"/>
            <w:vAlign w:val="center"/>
          </w:tcPr>
          <w:p w14:paraId="73D0E582">
            <w:pPr>
              <w:pStyle w:val="78"/>
              <w:rPr>
                <w:rFonts w:hint="eastAsia" w:ascii="Arial" w:hAnsi="Arial" w:cs="Times New Roman" w:eastAsiaTheme="minorEastAsia"/>
                <w:color w:val="FF0000"/>
                <w:sz w:val="18"/>
                <w:szCs w:val="20"/>
                <w:lang w:val="en-US" w:eastAsia="en-US" w:bidi="ar-SA"/>
              </w:rPr>
            </w:pPr>
            <w:r>
              <w:rPr>
                <w:rFonts w:hint="default"/>
                <w:color w:val="FF0000"/>
                <w:lang w:val="en-US"/>
              </w:rPr>
              <w:t>8.0</w:t>
            </w:r>
          </w:p>
        </w:tc>
      </w:tr>
      <w:tr w14:paraId="6819FEDB">
        <w:trPr>
          <w:trHeight w:val="20" w:hRule="atLeast"/>
          <w:jc w:val="center"/>
        </w:trPr>
        <w:tc>
          <w:tcPr>
            <w:tcW w:w="0" w:type="auto"/>
            <w:vAlign w:val="center"/>
          </w:tcPr>
          <w:p w14:paraId="4839EFD9">
            <w:pPr>
              <w:pStyle w:val="78"/>
            </w:pPr>
            <w:r>
              <w:rPr>
                <w:rFonts w:hint="eastAsia"/>
                <w:color w:val="FF0000"/>
                <w:lang w:val="en-US" w:eastAsia="zh-CN"/>
              </w:rPr>
              <w:t>Active LPR</w:t>
            </w:r>
          </w:p>
        </w:tc>
        <w:tc>
          <w:tcPr>
            <w:tcW w:w="3600" w:type="dxa"/>
            <w:gridSpan w:val="4"/>
            <w:vAlign w:val="center"/>
          </w:tcPr>
          <w:p w14:paraId="38EBB8D4">
            <w:pPr>
              <w:pStyle w:val="78"/>
              <w:rPr>
                <w:rFonts w:hint="default"/>
                <w:color w:val="FF0000"/>
                <w:lang w:val="en-US"/>
              </w:rPr>
            </w:pPr>
            <w:r>
              <w:rPr>
                <w:rFonts w:hint="default"/>
                <w:color w:val="FF0000"/>
                <w:lang w:val="en-US"/>
              </w:rPr>
              <w:t>--</w:t>
            </w:r>
          </w:p>
        </w:tc>
        <w:tc>
          <w:tcPr>
            <w:tcW w:w="914" w:type="dxa"/>
            <w:vAlign w:val="center"/>
          </w:tcPr>
          <w:p w14:paraId="62D62155">
            <w:pPr>
              <w:pStyle w:val="78"/>
              <w:rPr>
                <w:rFonts w:hint="default"/>
                <w:color w:val="FF0000"/>
                <w:lang w:val="en-US"/>
              </w:rPr>
            </w:pPr>
            <w:r>
              <w:rPr>
                <w:rFonts w:hint="default"/>
                <w:color w:val="FF0000"/>
                <w:lang w:val="en-US"/>
              </w:rPr>
              <w:t>--</w:t>
            </w:r>
          </w:p>
        </w:tc>
        <w:tc>
          <w:tcPr>
            <w:tcW w:w="1001" w:type="dxa"/>
            <w:vAlign w:val="center"/>
          </w:tcPr>
          <w:p w14:paraId="637A6C79">
            <w:pPr>
              <w:pStyle w:val="78"/>
              <w:rPr>
                <w:rFonts w:hint="default"/>
                <w:color w:val="FF0000"/>
                <w:lang w:val="en-US"/>
              </w:rPr>
            </w:pPr>
            <w:r>
              <w:rPr>
                <w:rFonts w:hint="default"/>
                <w:color w:val="FF0000"/>
                <w:lang w:val="en-US"/>
              </w:rPr>
              <w:t>--</w:t>
            </w:r>
          </w:p>
        </w:tc>
        <w:tc>
          <w:tcPr>
            <w:tcW w:w="924" w:type="dxa"/>
            <w:vAlign w:val="center"/>
          </w:tcPr>
          <w:p w14:paraId="5FFFB4DB">
            <w:pPr>
              <w:pStyle w:val="78"/>
              <w:rPr>
                <w:rFonts w:hint="default"/>
                <w:color w:val="FF0000"/>
                <w:lang w:val="en-US"/>
              </w:rPr>
            </w:pPr>
            <w:r>
              <w:rPr>
                <w:rFonts w:hint="default"/>
                <w:color w:val="FF0000"/>
                <w:lang w:val="en-US"/>
              </w:rPr>
              <w:t>--</w:t>
            </w:r>
          </w:p>
        </w:tc>
        <w:tc>
          <w:tcPr>
            <w:tcW w:w="886" w:type="dxa"/>
            <w:vAlign w:val="center"/>
          </w:tcPr>
          <w:p w14:paraId="689A9C04">
            <w:pPr>
              <w:pStyle w:val="78"/>
              <w:rPr>
                <w:rFonts w:hint="default"/>
                <w:color w:val="FF0000"/>
                <w:lang w:val="en-US"/>
              </w:rPr>
            </w:pPr>
            <w:r>
              <w:rPr>
                <w:rFonts w:hint="default"/>
                <w:color w:val="FF0000"/>
                <w:lang w:val="en-US"/>
              </w:rPr>
              <w:t>[1.1]</w:t>
            </w:r>
          </w:p>
        </w:tc>
      </w:tr>
      <w:tr w14:paraId="435E9FFF">
        <w:trPr>
          <w:trHeight w:val="20" w:hRule="atLeast"/>
          <w:jc w:val="center"/>
        </w:trPr>
        <w:tc>
          <w:tcPr>
            <w:tcW w:w="8999" w:type="dxa"/>
            <w:gridSpan w:val="9"/>
            <w:vAlign w:val="center"/>
          </w:tcPr>
          <w:p w14:paraId="302F57FF">
            <w:pPr>
              <w:pStyle w:val="78"/>
              <w:jc w:val="left"/>
              <w:rPr>
                <w:rFonts w:hint="default"/>
                <w:color w:val="FF0000"/>
                <w:lang w:val="en-US"/>
              </w:rPr>
            </w:pPr>
            <w:r>
              <w:rPr>
                <w:rFonts w:hint="default"/>
                <w:color w:val="FF0000"/>
                <w:lang w:val="en-US"/>
              </w:rPr>
              <w:t xml:space="preserve">Note: </w:t>
            </w:r>
            <w:r>
              <w:rPr>
                <w:color w:val="FF0000"/>
              </w:rPr>
              <w:t>Category 2 values for Set 4 (</w:t>
            </w:r>
            <w:r>
              <w:rPr>
                <w:rFonts w:hint="default"/>
                <w:color w:val="FF0000"/>
                <w:lang w:val="en-US"/>
              </w:rPr>
              <w:t>~</w:t>
            </w:r>
            <w:r>
              <w:rPr>
                <w:color w:val="FF0000"/>
              </w:rPr>
              <w:t xml:space="preserve">7 GHz) were not explicitly defined in Release 18 and are left “to be defined” above. They would likely exceed the Set 1 values (since a larger FR3 array can draw more power when fully active, as discussed). </w:t>
            </w:r>
          </w:p>
        </w:tc>
      </w:tr>
    </w:tbl>
    <w:p w14:paraId="0C51B5ED">
      <w:pPr>
        <w:numPr>
          <w:ilvl w:val="0"/>
          <w:numId w:val="0"/>
        </w:numPr>
        <w:outlineLvl w:val="9"/>
        <w:rPr>
          <w:rFonts w:hint="eastAsia" w:ascii="Times New Roman Bold Italic" w:hAnsi="Times New Roman Bold Italic" w:eastAsia="等线" w:cs="Times New Roman Bold Italic"/>
          <w:b/>
          <w:bCs/>
          <w:i/>
          <w:iCs/>
          <w:highlight w:val="yellow"/>
          <w:u w:val="single"/>
          <w:lang w:val="en-US" w:eastAsia="zh-CN"/>
        </w:rPr>
      </w:pPr>
    </w:p>
    <w:p w14:paraId="0AFE9DEF">
      <w:pPr>
        <w:pStyle w:val="5"/>
        <w:rPr>
          <w:rFonts w:hint="default" w:ascii="Times New Roman Bold Italic" w:hAnsi="Times New Roman Bold Italic" w:cs="Times New Roman Bold Italic"/>
          <w:b/>
          <w:bCs/>
          <w:i/>
          <w:iCs/>
          <w:sz w:val="22"/>
          <w:szCs w:val="22"/>
          <w:lang w:val="en-US" w:eastAsia="zh-CN"/>
        </w:rPr>
      </w:pPr>
      <w:r>
        <w:rPr>
          <w:rFonts w:hint="default" w:ascii="Times New Roman Bold Italic" w:hAnsi="Times New Roman Bold Italic" w:cs="Times New Roman Bold Italic"/>
          <w:b/>
          <w:bCs/>
          <w:i/>
          <w:iCs/>
          <w:sz w:val="22"/>
          <w:szCs w:val="22"/>
          <w:lang w:val="en-US"/>
        </w:rPr>
        <w:t>Proposal 12:</w:t>
      </w:r>
      <w:r>
        <w:rPr>
          <w:rFonts w:hint="default" w:ascii="Times New Roman Italic" w:hAnsi="Times New Roman Italic" w:cs="Times New Roman Italic"/>
          <w:i/>
          <w:iCs/>
          <w:sz w:val="22"/>
          <w:szCs w:val="22"/>
          <w:lang w:val="en-US"/>
        </w:rPr>
        <w:t xml:space="preserve"> </w:t>
      </w:r>
      <w:r>
        <w:rPr>
          <w:rFonts w:hint="default" w:ascii="Times New Roman Bold Italic" w:hAnsi="Times New Roman Bold Italic" w:cs="Times New Roman Bold Italic"/>
          <w:b/>
          <w:bCs/>
          <w:i/>
          <w:iCs/>
          <w:sz w:val="22"/>
          <w:szCs w:val="22"/>
          <w:lang w:val="en-US" w:eastAsia="zh-CN"/>
        </w:rPr>
        <w:t>For Cat 2 and Cat 3, update TR 38.864</w:t>
      </w:r>
      <w:r>
        <w:rPr>
          <w:rFonts w:hint="default" w:ascii="Times New Roman Bold Italic" w:hAnsi="Times New Roman Bold Italic" w:eastAsia="宋体" w:cs="Times New Roman Bold Italic"/>
          <w:b/>
          <w:bCs/>
          <w:i/>
          <w:iCs/>
          <w:sz w:val="22"/>
          <w:szCs w:val="22"/>
          <w:lang w:val="en-US" w:eastAsia="zh-CN"/>
        </w:rPr>
        <w:t xml:space="preserve"> total transition time T and transition energy E</w:t>
      </w:r>
      <w:r>
        <w:rPr>
          <w:rFonts w:hint="default" w:ascii="Times New Roman Bold Italic" w:hAnsi="Times New Roman Bold Italic" w:cs="Times New Roman Bold Italic"/>
          <w:b/>
          <w:bCs/>
          <w:i/>
          <w:iCs/>
          <w:sz w:val="22"/>
          <w:szCs w:val="22"/>
          <w:lang w:val="en-US" w:eastAsia="zh-CN"/>
        </w:rPr>
        <w:t xml:space="preserve"> as below</w:t>
      </w:r>
    </w:p>
    <w:p w14:paraId="74E0BB3F">
      <w:pPr>
        <w:pStyle w:val="5"/>
        <w:jc w:val="center"/>
        <w:rPr>
          <w:rFonts w:hint="default" w:ascii="Times New Roman Italic" w:hAnsi="Times New Roman Italic" w:cs="Times New Roman Italic"/>
          <w:i/>
          <w:iCs/>
          <w:lang w:val="en-US"/>
        </w:rPr>
      </w:pPr>
      <w:r>
        <w:rPr>
          <w:rFonts w:hint="default" w:ascii="Times New Roman Italic" w:hAnsi="Times New Roman Italic" w:cs="Times New Roman Italic"/>
          <w:i/>
          <w:iCs/>
          <w:lang w:val="en-US"/>
        </w:rPr>
        <w:t xml:space="preserve">Table </w:t>
      </w:r>
      <w:r>
        <w:rPr>
          <w:rFonts w:hint="eastAsia" w:ascii="Times New Roman Italic" w:hAnsi="Times New Roman Italic" w:cs="Times New Roman Italic"/>
          <w:i/>
          <w:iCs/>
          <w:lang w:val="en-US" w:eastAsia="zh-CN"/>
        </w:rPr>
        <w:t>4</w:t>
      </w:r>
      <w:r>
        <w:rPr>
          <w:rFonts w:hint="default" w:ascii="Times New Roman Italic" w:hAnsi="Times New Roman Italic" w:cs="Times New Roman Italic"/>
          <w:i/>
          <w:iCs/>
          <w:lang w:val="en-US"/>
        </w:rPr>
        <w:t xml:space="preserve">: </w:t>
      </w:r>
      <w:r>
        <w:rPr>
          <w:rFonts w:hint="eastAsia" w:ascii="Times New Roman Italic" w:hAnsi="Times New Roman Italic" w:cs="Times New Roman Italic"/>
          <w:i/>
          <w:iCs/>
          <w:lang w:val="en-US" w:eastAsia="zh-CN"/>
        </w:rPr>
        <w:t>T</w:t>
      </w:r>
      <w:r>
        <w:rPr>
          <w:rFonts w:hint="default" w:ascii="Times New Roman Italic" w:hAnsi="Times New Roman Italic" w:cs="Times New Roman Italic"/>
          <w:i/>
          <w:iCs/>
          <w:lang w:val="en-US"/>
        </w:rPr>
        <w:t>otal transition time T for reference configuration for category 2 or NEW BS category (category 3)</w:t>
      </w:r>
    </w:p>
    <w:tbl>
      <w:tblPr>
        <w:tblStyle w:val="27"/>
        <w:tblW w:w="5320" w:type="dxa"/>
        <w:jc w:val="cente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1838"/>
        <w:gridCol w:w="1741"/>
        <w:gridCol w:w="1741"/>
      </w:tblGrid>
      <w:tr w14:paraId="6BAC1DD5">
        <w:trPr>
          <w:trHeight w:val="20" w:hRule="atLeast"/>
          <w:jc w:val="center"/>
        </w:trPr>
        <w:tc>
          <w:tcPr>
            <w:tcW w:w="0" w:type="auto"/>
            <w:tcBorders>
              <w:top w:val="double" w:color="A5A5A5" w:sz="4" w:space="0"/>
              <w:left w:val="double" w:color="A5A5A5" w:sz="4" w:space="0"/>
              <w:bottom w:val="double" w:color="A5A5A5" w:sz="4" w:space="0"/>
              <w:right w:val="double" w:color="A5A5A5" w:sz="4" w:space="0"/>
            </w:tcBorders>
            <w:vAlign w:val="center"/>
          </w:tcPr>
          <w:p w14:paraId="49372C42">
            <w:pPr>
              <w:pStyle w:val="77"/>
            </w:pPr>
            <w:r>
              <w:t>Power state</w:t>
            </w:r>
          </w:p>
        </w:tc>
        <w:tc>
          <w:tcPr>
            <w:tcW w:w="0" w:type="auto"/>
            <w:tcBorders>
              <w:top w:val="double" w:color="A5A5A5" w:sz="4" w:space="0"/>
              <w:left w:val="double" w:color="A5A5A5" w:sz="4" w:space="0"/>
              <w:bottom w:val="double" w:color="A5A5A5" w:sz="4" w:space="0"/>
              <w:right w:val="double" w:color="A5A5A5" w:sz="4" w:space="0"/>
            </w:tcBorders>
            <w:vAlign w:val="center"/>
          </w:tcPr>
          <w:p w14:paraId="6A3A2F8B">
            <w:pPr>
              <w:pStyle w:val="77"/>
              <w:rPr>
                <w:rFonts w:hint="eastAsia" w:eastAsiaTheme="minorEastAsia"/>
                <w:lang w:eastAsia="zh-CN"/>
              </w:rPr>
            </w:pPr>
            <w:r>
              <w:t xml:space="preserve">BS Category </w:t>
            </w:r>
            <w:r>
              <w:rPr>
                <w:rFonts w:hint="eastAsia"/>
                <w:lang w:val="en-US" w:eastAsia="zh-CN"/>
              </w:rPr>
              <w:t>2</w:t>
            </w:r>
          </w:p>
        </w:tc>
        <w:tc>
          <w:tcPr>
            <w:tcW w:w="0" w:type="auto"/>
            <w:tcBorders>
              <w:top w:val="double" w:color="A5A5A5" w:sz="4" w:space="0"/>
              <w:left w:val="double" w:color="A5A5A5" w:sz="4" w:space="0"/>
              <w:bottom w:val="double" w:color="A5A5A5" w:sz="4" w:space="0"/>
              <w:right w:val="double" w:color="A5A5A5" w:sz="4" w:space="0"/>
            </w:tcBorders>
            <w:vAlign w:val="center"/>
          </w:tcPr>
          <w:p w14:paraId="06123B34">
            <w:pPr>
              <w:pStyle w:val="77"/>
              <w:rPr>
                <w:rFonts w:hint="eastAsia" w:eastAsiaTheme="minorEastAsia"/>
                <w:lang w:eastAsia="zh-CN"/>
              </w:rPr>
            </w:pPr>
            <w:r>
              <w:rPr>
                <w:color w:val="FF0000"/>
              </w:rPr>
              <w:t xml:space="preserve">BS Category </w:t>
            </w:r>
            <w:r>
              <w:rPr>
                <w:rFonts w:hint="eastAsia"/>
                <w:color w:val="FF0000"/>
                <w:lang w:val="en-US" w:eastAsia="zh-CN"/>
              </w:rPr>
              <w:t>3</w:t>
            </w:r>
          </w:p>
        </w:tc>
      </w:tr>
      <w:tr w14:paraId="4FCA47C9">
        <w:trPr>
          <w:trHeight w:val="20" w:hRule="atLeast"/>
          <w:jc w:val="center"/>
        </w:trPr>
        <w:tc>
          <w:tcPr>
            <w:tcW w:w="0" w:type="auto"/>
            <w:tcBorders>
              <w:top w:val="double" w:color="A5A5A5" w:sz="4" w:space="0"/>
              <w:left w:val="double" w:color="A5A5A5" w:sz="4" w:space="0"/>
              <w:bottom w:val="double" w:color="A5A5A5" w:sz="4" w:space="0"/>
              <w:right w:val="double" w:color="A5A5A5" w:sz="4" w:space="0"/>
            </w:tcBorders>
            <w:vAlign w:val="center"/>
          </w:tcPr>
          <w:p w14:paraId="35DBDAC8">
            <w:pPr>
              <w:pStyle w:val="78"/>
              <w:rPr>
                <w:rFonts w:hint="default"/>
                <w:color w:val="FF0000"/>
                <w:lang w:val="en-US"/>
              </w:rPr>
            </w:pPr>
            <w:r>
              <w:rPr>
                <w:rFonts w:hint="default"/>
                <w:color w:val="FF0000"/>
                <w:lang w:val="en-US"/>
              </w:rPr>
              <w:t>Ultra deep sleep</w:t>
            </w:r>
          </w:p>
        </w:tc>
        <w:tc>
          <w:tcPr>
            <w:tcW w:w="0" w:type="auto"/>
            <w:tcBorders>
              <w:top w:val="double" w:color="A5A5A5" w:sz="4" w:space="0"/>
              <w:left w:val="double" w:color="A5A5A5" w:sz="4" w:space="0"/>
              <w:bottom w:val="double" w:color="A5A5A5" w:sz="4" w:space="0"/>
              <w:right w:val="double" w:color="A5A5A5" w:sz="4" w:space="0"/>
            </w:tcBorders>
            <w:vAlign w:val="center"/>
          </w:tcPr>
          <w:p w14:paraId="577EB423">
            <w:pPr>
              <w:pStyle w:val="78"/>
              <w:rPr>
                <w:rFonts w:hint="default" w:eastAsiaTheme="minorEastAsia"/>
                <w:color w:val="FF0000"/>
                <w:lang w:val="en-US" w:eastAsia="zh-CN"/>
              </w:rPr>
            </w:pPr>
            <w:r>
              <w:rPr>
                <w:rFonts w:hint="eastAsia"/>
                <w:color w:val="FF0000"/>
                <w:lang w:val="en-US" w:eastAsia="zh-CN"/>
              </w:rPr>
              <w:t>--</w:t>
            </w:r>
          </w:p>
        </w:tc>
        <w:tc>
          <w:tcPr>
            <w:tcW w:w="0" w:type="auto"/>
            <w:tcBorders>
              <w:top w:val="double" w:color="A5A5A5" w:sz="4" w:space="0"/>
              <w:left w:val="double" w:color="A5A5A5" w:sz="4" w:space="0"/>
              <w:bottom w:val="double" w:color="A5A5A5" w:sz="4" w:space="0"/>
              <w:right w:val="double" w:color="A5A5A5" w:sz="4" w:space="0"/>
            </w:tcBorders>
            <w:vAlign w:val="center"/>
          </w:tcPr>
          <w:p w14:paraId="26A58AF3">
            <w:pPr>
              <w:pStyle w:val="78"/>
              <w:rPr>
                <w:rFonts w:hint="default" w:eastAsiaTheme="minorEastAsia"/>
                <w:color w:val="FF0000"/>
                <w:lang w:val="en-US" w:eastAsia="zh-CN"/>
              </w:rPr>
            </w:pPr>
            <w:r>
              <w:rPr>
                <w:rFonts w:hint="eastAsia"/>
                <w:color w:val="FF0000"/>
                <w:lang w:val="en-US" w:eastAsia="zh-CN"/>
              </w:rPr>
              <w:t>30s</w:t>
            </w:r>
          </w:p>
        </w:tc>
      </w:tr>
      <w:tr w14:paraId="5CB56EEE">
        <w:trPr>
          <w:trHeight w:val="20" w:hRule="atLeast"/>
          <w:jc w:val="center"/>
        </w:trPr>
        <w:tc>
          <w:tcPr>
            <w:tcW w:w="0" w:type="auto"/>
            <w:tcBorders>
              <w:top w:val="double" w:color="A5A5A5" w:sz="4" w:space="0"/>
              <w:left w:val="double" w:color="A5A5A5" w:sz="4" w:space="0"/>
              <w:bottom w:val="double" w:color="A5A5A5" w:sz="4" w:space="0"/>
              <w:right w:val="double" w:color="A5A5A5" w:sz="4" w:space="0"/>
            </w:tcBorders>
            <w:vAlign w:val="center"/>
          </w:tcPr>
          <w:p w14:paraId="7DC35441">
            <w:pPr>
              <w:pStyle w:val="78"/>
            </w:pPr>
            <w:r>
              <w:t>Deep sleep</w:t>
            </w:r>
          </w:p>
        </w:tc>
        <w:tc>
          <w:tcPr>
            <w:tcW w:w="0" w:type="auto"/>
            <w:tcBorders>
              <w:top w:val="double" w:color="A5A5A5" w:sz="4" w:space="0"/>
              <w:left w:val="double" w:color="A5A5A5" w:sz="4" w:space="0"/>
              <w:bottom w:val="double" w:color="A5A5A5" w:sz="4" w:space="0"/>
              <w:right w:val="double" w:color="A5A5A5" w:sz="4" w:space="0"/>
            </w:tcBorders>
            <w:vAlign w:val="center"/>
          </w:tcPr>
          <w:p w14:paraId="1E4A8F49">
            <w:pPr>
              <w:pStyle w:val="78"/>
            </w:pPr>
            <w:r>
              <w:t>50 ms</w:t>
            </w:r>
          </w:p>
        </w:tc>
        <w:tc>
          <w:tcPr>
            <w:tcW w:w="0" w:type="auto"/>
            <w:tcBorders>
              <w:top w:val="double" w:color="A5A5A5" w:sz="4" w:space="0"/>
              <w:left w:val="double" w:color="A5A5A5" w:sz="4" w:space="0"/>
              <w:bottom w:val="double" w:color="A5A5A5" w:sz="4" w:space="0"/>
              <w:right w:val="double" w:color="A5A5A5" w:sz="4" w:space="0"/>
            </w:tcBorders>
            <w:vAlign w:val="center"/>
          </w:tcPr>
          <w:p w14:paraId="3059C6E4">
            <w:pPr>
              <w:pStyle w:val="78"/>
              <w:rPr>
                <w:color w:val="FF0000"/>
              </w:rPr>
            </w:pPr>
            <w:r>
              <w:rPr>
                <w:color w:val="FF0000"/>
              </w:rPr>
              <w:t>10 s</w:t>
            </w:r>
          </w:p>
        </w:tc>
      </w:tr>
      <w:tr w14:paraId="0488C7BA">
        <w:trPr>
          <w:trHeight w:val="20" w:hRule="atLeast"/>
          <w:jc w:val="center"/>
        </w:trPr>
        <w:tc>
          <w:tcPr>
            <w:tcW w:w="0" w:type="auto"/>
            <w:tcBorders>
              <w:top w:val="double" w:color="A5A5A5" w:sz="4" w:space="0"/>
              <w:left w:val="double" w:color="A5A5A5" w:sz="4" w:space="0"/>
              <w:bottom w:val="double" w:color="A5A5A5" w:sz="4" w:space="0"/>
              <w:right w:val="double" w:color="A5A5A5" w:sz="4" w:space="0"/>
            </w:tcBorders>
            <w:vAlign w:val="center"/>
          </w:tcPr>
          <w:p w14:paraId="37C962A9">
            <w:pPr>
              <w:pStyle w:val="78"/>
            </w:pPr>
            <w:r>
              <w:t>Light sleep</w:t>
            </w:r>
          </w:p>
        </w:tc>
        <w:tc>
          <w:tcPr>
            <w:tcW w:w="0" w:type="auto"/>
            <w:tcBorders>
              <w:top w:val="double" w:color="A5A5A5" w:sz="4" w:space="0"/>
              <w:left w:val="double" w:color="A5A5A5" w:sz="4" w:space="0"/>
              <w:bottom w:val="double" w:color="A5A5A5" w:sz="4" w:space="0"/>
              <w:right w:val="double" w:color="A5A5A5" w:sz="4" w:space="0"/>
            </w:tcBorders>
            <w:vAlign w:val="center"/>
          </w:tcPr>
          <w:p w14:paraId="0BD739A8">
            <w:pPr>
              <w:pStyle w:val="78"/>
            </w:pPr>
            <w:r>
              <w:t>6 ms</w:t>
            </w:r>
          </w:p>
        </w:tc>
        <w:tc>
          <w:tcPr>
            <w:tcW w:w="0" w:type="auto"/>
            <w:tcBorders>
              <w:top w:val="double" w:color="A5A5A5" w:sz="4" w:space="0"/>
              <w:left w:val="double" w:color="A5A5A5" w:sz="4" w:space="0"/>
              <w:bottom w:val="double" w:color="A5A5A5" w:sz="4" w:space="0"/>
              <w:right w:val="double" w:color="A5A5A5" w:sz="4" w:space="0"/>
            </w:tcBorders>
            <w:vAlign w:val="center"/>
          </w:tcPr>
          <w:p w14:paraId="71FDE7ED">
            <w:pPr>
              <w:pStyle w:val="78"/>
              <w:rPr>
                <w:color w:val="FF0000"/>
              </w:rPr>
            </w:pPr>
            <w:r>
              <w:rPr>
                <w:color w:val="FF0000"/>
              </w:rPr>
              <w:t>640 ms</w:t>
            </w:r>
          </w:p>
        </w:tc>
      </w:tr>
      <w:tr w14:paraId="69EDCEB9">
        <w:trPr>
          <w:trHeight w:val="20" w:hRule="atLeast"/>
          <w:jc w:val="center"/>
        </w:trPr>
        <w:tc>
          <w:tcPr>
            <w:tcW w:w="0" w:type="auto"/>
            <w:tcBorders>
              <w:top w:val="double" w:color="A5A5A5" w:sz="4" w:space="0"/>
              <w:left w:val="double" w:color="A5A5A5" w:sz="4" w:space="0"/>
              <w:bottom w:val="double" w:color="A5A5A5" w:sz="4" w:space="0"/>
              <w:right w:val="double" w:color="A5A5A5" w:sz="4" w:space="0"/>
            </w:tcBorders>
            <w:vAlign w:val="center"/>
          </w:tcPr>
          <w:p w14:paraId="10B7326D">
            <w:pPr>
              <w:pStyle w:val="78"/>
              <w:rPr>
                <w:rFonts w:hint="default" w:eastAsiaTheme="minorEastAsia"/>
                <w:lang w:val="en-US" w:eastAsia="zh-CN"/>
              </w:rPr>
            </w:pPr>
            <w:r>
              <w:rPr>
                <w:rFonts w:hint="eastAsia"/>
                <w:lang w:val="en-US" w:eastAsia="zh-CN"/>
              </w:rPr>
              <w:t>Micro sleep</w:t>
            </w:r>
          </w:p>
        </w:tc>
        <w:tc>
          <w:tcPr>
            <w:tcW w:w="0" w:type="auto"/>
            <w:tcBorders>
              <w:top w:val="double" w:color="A5A5A5" w:sz="4" w:space="0"/>
              <w:left w:val="double" w:color="A5A5A5" w:sz="4" w:space="0"/>
              <w:bottom w:val="double" w:color="A5A5A5" w:sz="4" w:space="0"/>
              <w:right w:val="double" w:color="A5A5A5" w:sz="4" w:space="0"/>
            </w:tcBorders>
            <w:vAlign w:val="center"/>
          </w:tcPr>
          <w:p w14:paraId="6FE6E5AD">
            <w:pPr>
              <w:pStyle w:val="78"/>
              <w:rPr>
                <w:rFonts w:hint="default" w:eastAsiaTheme="minorEastAsia"/>
                <w:lang w:val="en-US" w:eastAsia="zh-CN"/>
              </w:rPr>
            </w:pPr>
            <w:r>
              <w:rPr>
                <w:rFonts w:hint="eastAsia"/>
                <w:lang w:val="en-US" w:eastAsia="zh-CN"/>
              </w:rPr>
              <w:t>0ms</w:t>
            </w:r>
          </w:p>
        </w:tc>
        <w:tc>
          <w:tcPr>
            <w:tcW w:w="0" w:type="auto"/>
            <w:tcBorders>
              <w:top w:val="double" w:color="A5A5A5" w:sz="4" w:space="0"/>
              <w:left w:val="double" w:color="A5A5A5" w:sz="4" w:space="0"/>
              <w:bottom w:val="double" w:color="A5A5A5" w:sz="4" w:space="0"/>
              <w:right w:val="double" w:color="A5A5A5" w:sz="4" w:space="0"/>
            </w:tcBorders>
            <w:vAlign w:val="center"/>
          </w:tcPr>
          <w:p w14:paraId="64F127F0">
            <w:pPr>
              <w:pStyle w:val="78"/>
              <w:rPr>
                <w:rFonts w:hint="default" w:eastAsiaTheme="minorEastAsia"/>
                <w:color w:val="FF0000"/>
                <w:lang w:val="en-US" w:eastAsia="zh-CN"/>
              </w:rPr>
            </w:pPr>
            <w:r>
              <w:rPr>
                <w:rFonts w:hint="eastAsia"/>
                <w:color w:val="FF0000"/>
                <w:lang w:val="en-US" w:eastAsia="zh-CN"/>
              </w:rPr>
              <w:t>0ms</w:t>
            </w:r>
          </w:p>
        </w:tc>
      </w:tr>
    </w:tbl>
    <w:p w14:paraId="02C32BCB">
      <w:pPr>
        <w:pStyle w:val="5"/>
        <w:jc w:val="center"/>
        <w:rPr>
          <w:rFonts w:hint="default" w:ascii="Times New Roman Italic" w:hAnsi="Times New Roman Italic" w:cs="Times New Roman Italic"/>
          <w:i/>
          <w:iCs/>
          <w:lang w:val="en-US"/>
        </w:rPr>
      </w:pPr>
    </w:p>
    <w:p w14:paraId="65EB760C">
      <w:pPr>
        <w:pStyle w:val="5"/>
        <w:jc w:val="center"/>
        <w:rPr>
          <w:rFonts w:hint="default" w:ascii="Times New Roman Italic" w:hAnsi="Times New Roman Italic" w:cs="Times New Roman Italic"/>
          <w:i/>
          <w:iCs/>
          <w:lang w:val="en-US"/>
        </w:rPr>
      </w:pPr>
      <w:r>
        <w:rPr>
          <w:rFonts w:hint="default" w:ascii="Times New Roman Italic" w:hAnsi="Times New Roman Italic" w:cs="Times New Roman Italic"/>
          <w:i/>
          <w:iCs/>
          <w:lang w:val="en-US"/>
        </w:rPr>
        <w:t xml:space="preserve">Table </w:t>
      </w:r>
      <w:r>
        <w:rPr>
          <w:rFonts w:hint="eastAsia" w:ascii="Times New Roman Italic" w:hAnsi="Times New Roman Italic" w:cs="Times New Roman Italic"/>
          <w:i/>
          <w:iCs/>
          <w:lang w:val="en-US" w:eastAsia="zh-CN"/>
        </w:rPr>
        <w:t>5</w:t>
      </w:r>
      <w:r>
        <w:rPr>
          <w:rFonts w:hint="default" w:ascii="Times New Roman Italic" w:hAnsi="Times New Roman Italic" w:cs="Times New Roman Italic"/>
          <w:i/>
          <w:iCs/>
          <w:lang w:val="en-US"/>
        </w:rPr>
        <w:t xml:space="preserve">: </w:t>
      </w:r>
      <w:r>
        <w:rPr>
          <w:rFonts w:hint="eastAsia" w:ascii="Times New Roman Italic" w:hAnsi="Times New Roman Italic" w:cs="Times New Roman Italic"/>
          <w:i/>
          <w:iCs/>
          <w:lang w:val="en-US" w:eastAsia="zh-CN"/>
        </w:rPr>
        <w:t>A</w:t>
      </w:r>
      <w:r>
        <w:rPr>
          <w:rFonts w:hint="default" w:ascii="Times New Roman Italic" w:hAnsi="Times New Roman Italic" w:cs="Times New Roman Italic"/>
          <w:i/>
          <w:iCs/>
          <w:lang w:val="en-US"/>
        </w:rPr>
        <w:t>dditional transition energy E for reference configuration for category 2 or NEW BS category (category 3)</w:t>
      </w:r>
    </w:p>
    <w:tbl>
      <w:tblPr>
        <w:tblStyle w:val="27"/>
        <w:tblW w:w="5242" w:type="dxa"/>
        <w:jc w:val="cente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1810"/>
        <w:gridCol w:w="1716"/>
        <w:gridCol w:w="1716"/>
      </w:tblGrid>
      <w:tr w14:paraId="5AB111F3">
        <w:trPr>
          <w:trHeight w:val="20" w:hRule="atLeast"/>
          <w:jc w:val="center"/>
        </w:trPr>
        <w:tc>
          <w:tcPr>
            <w:tcW w:w="0" w:type="auto"/>
            <w:tcBorders>
              <w:top w:val="double" w:color="A5A5A5" w:sz="4" w:space="0"/>
              <w:left w:val="double" w:color="A5A5A5" w:sz="4" w:space="0"/>
              <w:bottom w:val="double" w:color="A5A5A5" w:sz="4" w:space="0"/>
              <w:right w:val="double" w:color="A5A5A5" w:sz="4" w:space="0"/>
            </w:tcBorders>
            <w:vAlign w:val="center"/>
          </w:tcPr>
          <w:p w14:paraId="31F87693">
            <w:pPr>
              <w:pStyle w:val="77"/>
            </w:pPr>
            <w:r>
              <w:t>Power state</w:t>
            </w:r>
          </w:p>
        </w:tc>
        <w:tc>
          <w:tcPr>
            <w:tcW w:w="0" w:type="auto"/>
            <w:tcBorders>
              <w:top w:val="double" w:color="A5A5A5" w:sz="4" w:space="0"/>
              <w:left w:val="double" w:color="A5A5A5" w:sz="4" w:space="0"/>
              <w:bottom w:val="double" w:color="A5A5A5" w:sz="4" w:space="0"/>
              <w:right w:val="double" w:color="A5A5A5" w:sz="4" w:space="0"/>
            </w:tcBorders>
            <w:vAlign w:val="center"/>
          </w:tcPr>
          <w:p w14:paraId="21767689">
            <w:pPr>
              <w:pStyle w:val="77"/>
              <w:rPr>
                <w:rFonts w:hint="eastAsia" w:eastAsiaTheme="minorEastAsia"/>
                <w:lang w:eastAsia="zh-CN"/>
              </w:rPr>
            </w:pPr>
            <w:r>
              <w:t xml:space="preserve">BS Category </w:t>
            </w:r>
            <w:r>
              <w:rPr>
                <w:rFonts w:hint="eastAsia"/>
                <w:lang w:val="en-US" w:eastAsia="zh-CN"/>
              </w:rPr>
              <w:t>2</w:t>
            </w:r>
          </w:p>
        </w:tc>
        <w:tc>
          <w:tcPr>
            <w:tcW w:w="0" w:type="auto"/>
            <w:tcBorders>
              <w:top w:val="double" w:color="A5A5A5" w:sz="4" w:space="0"/>
              <w:left w:val="double" w:color="A5A5A5" w:sz="4" w:space="0"/>
              <w:bottom w:val="double" w:color="A5A5A5" w:sz="4" w:space="0"/>
              <w:right w:val="double" w:color="A5A5A5" w:sz="4" w:space="0"/>
            </w:tcBorders>
            <w:vAlign w:val="center"/>
          </w:tcPr>
          <w:p w14:paraId="4EE36379">
            <w:pPr>
              <w:pStyle w:val="77"/>
              <w:rPr>
                <w:rFonts w:hint="eastAsia" w:eastAsiaTheme="minorEastAsia"/>
                <w:lang w:eastAsia="zh-CN"/>
              </w:rPr>
            </w:pPr>
            <w:r>
              <w:rPr>
                <w:color w:val="FF0000"/>
              </w:rPr>
              <w:t xml:space="preserve">BS Category </w:t>
            </w:r>
            <w:r>
              <w:rPr>
                <w:rFonts w:hint="eastAsia"/>
                <w:color w:val="FF0000"/>
                <w:lang w:val="en-US" w:eastAsia="zh-CN"/>
              </w:rPr>
              <w:t>3</w:t>
            </w:r>
          </w:p>
        </w:tc>
      </w:tr>
      <w:tr w14:paraId="179DA0BB">
        <w:trPr>
          <w:trHeight w:val="20" w:hRule="atLeast"/>
          <w:jc w:val="center"/>
        </w:trPr>
        <w:tc>
          <w:tcPr>
            <w:tcW w:w="0" w:type="auto"/>
            <w:tcBorders>
              <w:top w:val="double" w:color="A5A5A5" w:sz="4" w:space="0"/>
              <w:left w:val="double" w:color="A5A5A5" w:sz="4" w:space="0"/>
              <w:bottom w:val="double" w:color="A5A5A5" w:sz="4" w:space="0"/>
              <w:right w:val="double" w:color="A5A5A5" w:sz="4" w:space="0"/>
            </w:tcBorders>
            <w:vAlign w:val="center"/>
          </w:tcPr>
          <w:p w14:paraId="0A9EFAE5">
            <w:pPr>
              <w:pStyle w:val="78"/>
            </w:pPr>
            <w:r>
              <w:rPr>
                <w:rFonts w:hint="default"/>
                <w:color w:val="FF0000"/>
                <w:lang w:val="en-US"/>
              </w:rPr>
              <w:t>Ultra deep sleep</w:t>
            </w:r>
          </w:p>
        </w:tc>
        <w:tc>
          <w:tcPr>
            <w:tcW w:w="0" w:type="auto"/>
            <w:tcBorders>
              <w:top w:val="double" w:color="A5A5A5" w:sz="4" w:space="0"/>
              <w:left w:val="double" w:color="A5A5A5" w:sz="4" w:space="0"/>
              <w:bottom w:val="double" w:color="A5A5A5" w:sz="4" w:space="0"/>
              <w:right w:val="double" w:color="A5A5A5" w:sz="4" w:space="0"/>
            </w:tcBorders>
            <w:vAlign w:val="center"/>
          </w:tcPr>
          <w:p w14:paraId="5AC1AEEC">
            <w:pPr>
              <w:pStyle w:val="78"/>
              <w:rPr>
                <w:rFonts w:hint="default" w:eastAsiaTheme="minorEastAsia"/>
                <w:color w:val="FF0000"/>
                <w:lang w:val="en-US" w:eastAsia="zh-CN"/>
              </w:rPr>
            </w:pPr>
            <w:r>
              <w:rPr>
                <w:rFonts w:hint="eastAsia"/>
                <w:color w:val="FF0000"/>
                <w:lang w:val="en-US" w:eastAsia="zh-CN"/>
              </w:rPr>
              <w:t>--</w:t>
            </w:r>
          </w:p>
        </w:tc>
        <w:tc>
          <w:tcPr>
            <w:tcW w:w="0" w:type="auto"/>
            <w:tcBorders>
              <w:top w:val="double" w:color="A5A5A5" w:sz="4" w:space="0"/>
              <w:left w:val="double" w:color="A5A5A5" w:sz="4" w:space="0"/>
              <w:bottom w:val="double" w:color="A5A5A5" w:sz="4" w:space="0"/>
              <w:right w:val="double" w:color="A5A5A5" w:sz="4" w:space="0"/>
            </w:tcBorders>
            <w:vAlign w:val="center"/>
          </w:tcPr>
          <w:p w14:paraId="397C5B89">
            <w:pPr>
              <w:pStyle w:val="78"/>
              <w:rPr>
                <w:rFonts w:hint="default" w:eastAsiaTheme="minorEastAsia"/>
                <w:color w:val="FF0000"/>
                <w:lang w:val="en-US" w:eastAsia="zh-CN"/>
              </w:rPr>
            </w:pPr>
            <w:r>
              <w:rPr>
                <w:rFonts w:hint="eastAsia"/>
                <w:color w:val="FF0000"/>
                <w:lang w:val="en-US" w:eastAsia="zh-CN"/>
              </w:rPr>
              <w:t>30000</w:t>
            </w:r>
          </w:p>
        </w:tc>
      </w:tr>
      <w:tr w14:paraId="5867AA7F">
        <w:trPr>
          <w:trHeight w:val="20" w:hRule="atLeast"/>
          <w:jc w:val="center"/>
        </w:trPr>
        <w:tc>
          <w:tcPr>
            <w:tcW w:w="0" w:type="auto"/>
            <w:tcBorders>
              <w:top w:val="double" w:color="A5A5A5" w:sz="4" w:space="0"/>
              <w:left w:val="double" w:color="A5A5A5" w:sz="4" w:space="0"/>
              <w:bottom w:val="double" w:color="A5A5A5" w:sz="4" w:space="0"/>
              <w:right w:val="double" w:color="A5A5A5" w:sz="4" w:space="0"/>
            </w:tcBorders>
            <w:vAlign w:val="center"/>
          </w:tcPr>
          <w:p w14:paraId="0F6C2A23">
            <w:pPr>
              <w:pStyle w:val="78"/>
            </w:pPr>
            <w:r>
              <w:t>Deep sleep</w:t>
            </w:r>
          </w:p>
        </w:tc>
        <w:tc>
          <w:tcPr>
            <w:tcW w:w="1716" w:type="dxa"/>
            <w:tcBorders>
              <w:top w:val="double" w:color="A5A5A5" w:sz="4" w:space="0"/>
              <w:left w:val="double" w:color="A5A5A5" w:sz="4" w:space="0"/>
              <w:bottom w:val="double" w:color="A5A5A5" w:sz="4" w:space="0"/>
              <w:right w:val="double" w:color="A5A5A5" w:sz="4" w:space="0"/>
            </w:tcBorders>
            <w:vAlign w:val="center"/>
          </w:tcPr>
          <w:p w14:paraId="5BF4C7B3">
            <w:pPr>
              <w:pStyle w:val="78"/>
            </w:pPr>
            <w:r>
              <w:t>17000</w:t>
            </w:r>
          </w:p>
        </w:tc>
        <w:tc>
          <w:tcPr>
            <w:tcW w:w="0" w:type="auto"/>
            <w:tcBorders>
              <w:top w:val="double" w:color="A5A5A5" w:sz="4" w:space="0"/>
              <w:left w:val="double" w:color="A5A5A5" w:sz="4" w:space="0"/>
              <w:bottom w:val="double" w:color="A5A5A5" w:sz="4" w:space="0"/>
              <w:right w:val="double" w:color="A5A5A5" w:sz="4" w:space="0"/>
            </w:tcBorders>
            <w:vAlign w:val="center"/>
          </w:tcPr>
          <w:p w14:paraId="63407BCE">
            <w:pPr>
              <w:pStyle w:val="78"/>
              <w:rPr>
                <w:rFonts w:hint="default" w:eastAsiaTheme="minorEastAsia"/>
                <w:color w:val="FF0000"/>
                <w:lang w:val="en-US" w:eastAsia="zh-CN"/>
              </w:rPr>
            </w:pPr>
            <w:r>
              <w:rPr>
                <w:rFonts w:hint="eastAsia"/>
                <w:color w:val="FF0000"/>
                <w:lang w:val="en-US" w:eastAsia="zh-CN"/>
              </w:rPr>
              <w:t>20000</w:t>
            </w:r>
          </w:p>
        </w:tc>
      </w:tr>
      <w:tr w14:paraId="582B3B33">
        <w:trPr>
          <w:trHeight w:val="20" w:hRule="atLeast"/>
          <w:jc w:val="center"/>
        </w:trPr>
        <w:tc>
          <w:tcPr>
            <w:tcW w:w="0" w:type="auto"/>
            <w:tcBorders>
              <w:top w:val="double" w:color="A5A5A5" w:sz="4" w:space="0"/>
              <w:left w:val="double" w:color="A5A5A5" w:sz="4" w:space="0"/>
              <w:bottom w:val="double" w:color="A5A5A5" w:sz="4" w:space="0"/>
              <w:right w:val="double" w:color="A5A5A5" w:sz="4" w:space="0"/>
            </w:tcBorders>
            <w:vAlign w:val="center"/>
          </w:tcPr>
          <w:p w14:paraId="5499EA2C">
            <w:pPr>
              <w:pStyle w:val="78"/>
            </w:pPr>
            <w:r>
              <w:t>Light sleep</w:t>
            </w:r>
          </w:p>
        </w:tc>
        <w:tc>
          <w:tcPr>
            <w:tcW w:w="1716" w:type="dxa"/>
            <w:tcBorders>
              <w:top w:val="double" w:color="A5A5A5" w:sz="4" w:space="0"/>
              <w:left w:val="double" w:color="A5A5A5" w:sz="4" w:space="0"/>
              <w:bottom w:val="double" w:color="A5A5A5" w:sz="4" w:space="0"/>
              <w:right w:val="double" w:color="A5A5A5" w:sz="4" w:space="0"/>
            </w:tcBorders>
            <w:vAlign w:val="center"/>
          </w:tcPr>
          <w:p w14:paraId="233A3831">
            <w:pPr>
              <w:pStyle w:val="78"/>
            </w:pPr>
            <w:r>
              <w:t>1088</w:t>
            </w:r>
          </w:p>
        </w:tc>
        <w:tc>
          <w:tcPr>
            <w:tcW w:w="0" w:type="auto"/>
            <w:tcBorders>
              <w:top w:val="double" w:color="A5A5A5" w:sz="4" w:space="0"/>
              <w:left w:val="double" w:color="A5A5A5" w:sz="4" w:space="0"/>
              <w:bottom w:val="double" w:color="A5A5A5" w:sz="4" w:space="0"/>
              <w:right w:val="double" w:color="A5A5A5" w:sz="4" w:space="0"/>
            </w:tcBorders>
            <w:vAlign w:val="center"/>
          </w:tcPr>
          <w:p w14:paraId="6DE77029">
            <w:pPr>
              <w:pStyle w:val="78"/>
              <w:rPr>
                <w:rFonts w:hint="default" w:eastAsiaTheme="minorEastAsia"/>
                <w:color w:val="FF0000"/>
                <w:lang w:val="en-US" w:eastAsia="zh-CN"/>
              </w:rPr>
            </w:pPr>
            <w:r>
              <w:rPr>
                <w:rFonts w:hint="eastAsia"/>
                <w:color w:val="FF0000"/>
                <w:lang w:val="en-US" w:eastAsia="zh-CN"/>
              </w:rPr>
              <w:t>2000</w:t>
            </w:r>
          </w:p>
        </w:tc>
      </w:tr>
    </w:tbl>
    <w:p w14:paraId="263ABB7A">
      <w:pPr>
        <w:numPr>
          <w:ilvl w:val="0"/>
          <w:numId w:val="0"/>
        </w:numPr>
        <w:outlineLvl w:val="9"/>
        <w:rPr>
          <w:rFonts w:hint="eastAsia" w:ascii="Times New Roman Bold Italic" w:hAnsi="Times New Roman Bold Italic" w:eastAsia="等线" w:cs="Times New Roman Bold Italic"/>
          <w:b/>
          <w:bCs/>
          <w:i/>
          <w:iCs/>
          <w:highlight w:val="yellow"/>
          <w:u w:val="single"/>
          <w:lang w:val="en-US" w:eastAsia="zh-CN"/>
        </w:rPr>
      </w:pPr>
    </w:p>
    <w:p w14:paraId="03F3989D">
      <w:pPr>
        <w:pStyle w:val="5"/>
        <w:rPr>
          <w:rFonts w:hint="default" w:hAnsi="Cambria Math"/>
          <w:b/>
          <w:bCs/>
          <w:i/>
          <w:iCs/>
          <w:sz w:val="22"/>
          <w:szCs w:val="22"/>
          <w:lang w:val="en-US"/>
        </w:rPr>
      </w:pPr>
      <w:r>
        <w:rPr>
          <w:rFonts w:hint="default" w:hAnsi="Cambria Math"/>
          <w:b/>
          <w:bCs/>
          <w:i/>
          <w:iCs/>
          <w:sz w:val="22"/>
          <w:szCs w:val="22"/>
          <w:lang w:val="en-US"/>
        </w:rPr>
        <w:t xml:space="preserve">Proposal 13: </w:t>
      </w:r>
      <w:r>
        <w:rPr>
          <w:rFonts w:hint="default" w:ascii="Times New Roman Bold Italic" w:hAnsi="Times New Roman Bold Italic" w:cs="Times New Roman Bold Italic"/>
          <w:b/>
          <w:bCs/>
          <w:i/>
          <w:iCs/>
          <w:sz w:val="22"/>
          <w:szCs w:val="22"/>
          <w:lang w:val="en-US"/>
        </w:rPr>
        <w:t xml:space="preserve">Based on TR 38.864, for </w:t>
      </w:r>
      <w:r>
        <w:rPr>
          <w:rFonts w:hint="default" w:ascii="Times New Roman Bold Italic" w:hAnsi="Times New Roman Bold Italic" w:cs="Times New Roman Bold Italic"/>
          <w:b/>
          <w:bCs/>
          <w:i/>
          <w:iCs/>
          <w:sz w:val="22"/>
          <w:szCs w:val="22"/>
          <w:lang w:val="en-US" w:eastAsia="zh-CN"/>
        </w:rPr>
        <w:t>the BS power consumption model for</w:t>
      </w:r>
      <w:r>
        <w:rPr>
          <w:rFonts w:hint="default" w:hAnsi="Cambria Math"/>
          <w:b/>
          <w:bCs/>
          <w:i/>
          <w:iCs/>
          <w:sz w:val="22"/>
          <w:szCs w:val="22"/>
          <w:lang w:val="en-US"/>
        </w:rPr>
        <w:t xml:space="preserve"> DL/UL/LPR transmission, consider following models as baseline</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62"/>
        <w:gridCol w:w="7371"/>
      </w:tblGrid>
      <w:tr w14:paraId="6524C2D0">
        <w:tc>
          <w:tcPr>
            <w:tcW w:w="2162" w:type="dxa"/>
          </w:tcPr>
          <w:p w14:paraId="7BC987F0">
            <w:pPr>
              <w:pStyle w:val="5"/>
              <w:widowControl w:val="0"/>
              <w:rPr>
                <w:rFonts w:hint="default" w:hAnsi="Cambria Math"/>
                <w:i w:val="0"/>
                <w:vertAlign w:val="baseline"/>
                <w:lang w:val="en-US" w:eastAsia="zh-CN"/>
              </w:rPr>
            </w:pPr>
            <w:r>
              <w:rPr>
                <w:rFonts w:hint="eastAsia"/>
                <w:b/>
                <w:bCs/>
                <w:i/>
                <w:iCs/>
                <w:lang w:val="en-US" w:eastAsia="zh-CN"/>
              </w:rPr>
              <w:t>A</w:t>
            </w:r>
            <w:r>
              <w:rPr>
                <w:rFonts w:hint="default"/>
                <w:b/>
                <w:bCs/>
                <w:i/>
                <w:iCs/>
                <w:lang w:val="en-US" w:eastAsia="zh-CN"/>
              </w:rPr>
              <w:t>ctive DL transmission</w:t>
            </w:r>
          </w:p>
        </w:tc>
        <w:tc>
          <w:tcPr>
            <w:tcW w:w="7371" w:type="dxa"/>
          </w:tcPr>
          <w:p w14:paraId="111D741F">
            <w:pPr>
              <w:pStyle w:val="5"/>
              <w:widowControl w:val="0"/>
              <w:rPr>
                <w:b/>
                <w:bCs/>
                <w:i/>
                <w:iCs/>
              </w:rPr>
            </w:pPr>
            <m:oMathPara>
              <m:oMathParaPr>
                <m:jc m:val="left"/>
              </m:oMathParaPr>
              <m:oMath>
                <m:sSubSup>
                  <m:sSubSupPr>
                    <m:ctrlPr>
                      <w:rPr>
                        <w:rFonts w:ascii="DejaVu Math TeX Gyre" w:hAnsi="DejaVu Math TeX Gyre"/>
                        <w:b/>
                        <w:bCs/>
                        <w:i/>
                        <w:iCs/>
                      </w:rPr>
                    </m:ctrlPr>
                  </m:sSubSupPr>
                  <m:e>
                    <m:r>
                      <m:rPr>
                        <m:sty m:val="bi"/>
                      </m:rPr>
                      <w:rPr>
                        <w:rFonts w:hint="default" w:ascii="DejaVu Math TeX Gyre" w:hAnsi="DejaVu Math TeX Gyre"/>
                      </w:rPr>
                      <m:t>P</m:t>
                    </m:r>
                    <m:ctrlPr>
                      <w:rPr>
                        <w:rFonts w:ascii="DejaVu Math TeX Gyre" w:hAnsi="DejaVu Math TeX Gyre"/>
                        <w:b/>
                        <w:bCs/>
                        <w:i/>
                        <w:iCs/>
                      </w:rPr>
                    </m:ctrlPr>
                  </m:e>
                  <m:sub>
                    <m:r>
                      <m:rPr>
                        <m:nor/>
                        <m:sty m:val="bi"/>
                      </m:rPr>
                      <w:rPr>
                        <w:rFonts w:ascii="DejaVu Math TeX Gyre" w:hAnsi="DejaVu Math TeX Gyre"/>
                        <w:b/>
                        <w:bCs/>
                        <w:i/>
                        <w:iCs/>
                      </w:rPr>
                      <m:t>BS</m:t>
                    </m:r>
                    <m:ctrlPr>
                      <w:rPr>
                        <w:rFonts w:ascii="DejaVu Math TeX Gyre" w:hAnsi="DejaVu Math TeX Gyre"/>
                        <w:b/>
                        <w:bCs/>
                        <w:i/>
                        <w:iCs/>
                      </w:rPr>
                    </m:ctrlPr>
                  </m:sub>
                  <m:sup>
                    <m:r>
                      <m:rPr>
                        <m:sty m:val="bi"/>
                      </m:rPr>
                      <w:rPr>
                        <w:rFonts w:hint="default" w:ascii="DejaVu Math TeX Gyre" w:hAnsi="DejaVu Math TeX Gyre"/>
                      </w:rPr>
                      <m:t>DL</m:t>
                    </m:r>
                    <m:ctrlPr>
                      <w:rPr>
                        <w:rFonts w:ascii="DejaVu Math TeX Gyre" w:hAnsi="DejaVu Math TeX Gyre"/>
                        <w:b/>
                        <w:bCs/>
                        <w:i/>
                        <w:iCs/>
                      </w:rPr>
                    </m:ctrlPr>
                  </m:sup>
                </m:sSubSup>
                <m:r>
                  <m:rPr>
                    <m:sty m:val="bi"/>
                  </m:rPr>
                  <w:rPr>
                    <w:rFonts w:ascii="DejaVu Math TeX Gyre" w:hAnsi="DejaVu Math TeX Gyre"/>
                  </w:rPr>
                  <m:t> = </m:t>
                </m:r>
                <m:sSub>
                  <m:sSubPr>
                    <m:ctrlPr>
                      <w:rPr>
                        <w:rFonts w:ascii="DejaVu Math TeX Gyre" w:hAnsi="DejaVu Math TeX Gyre"/>
                        <w:b/>
                        <w:bCs/>
                        <w:i/>
                        <w:iCs/>
                      </w:rPr>
                    </m:ctrlPr>
                  </m:sSubPr>
                  <m:e>
                    <m:r>
                      <m:rPr>
                        <m:sty m:val="bi"/>
                      </m:rPr>
                      <w:rPr>
                        <w:rFonts w:hint="default" w:ascii="DejaVu Math TeX Gyre" w:hAnsi="DejaVu Math TeX Gyre"/>
                      </w:rPr>
                      <m:t>P</m:t>
                    </m:r>
                    <m:ctrlPr>
                      <w:rPr>
                        <w:rFonts w:ascii="DejaVu Math TeX Gyre" w:hAnsi="DejaVu Math TeX Gyre"/>
                        <w:b/>
                        <w:bCs/>
                        <w:i/>
                        <w:iCs/>
                      </w:rPr>
                    </m:ctrlPr>
                  </m:e>
                  <m:sub>
                    <m:r>
                      <m:rPr>
                        <m:sty m:val="bi"/>
                      </m:rPr>
                      <w:rPr>
                        <w:rFonts w:hint="default" w:ascii="DejaVu Math TeX Gyre" w:hAnsi="DejaVu Math TeX Gyre"/>
                      </w:rPr>
                      <m:t>BS,deep</m:t>
                    </m:r>
                    <m:ctrlPr>
                      <w:rPr>
                        <w:rFonts w:ascii="DejaVu Math TeX Gyre" w:hAnsi="DejaVu Math TeX Gyre"/>
                        <w:b/>
                        <w:bCs/>
                        <w:i/>
                        <w:iCs/>
                      </w:rPr>
                    </m:ctrlPr>
                  </m:sub>
                </m:sSub>
                <m:r>
                  <m:rPr>
                    <m:sty m:val="bi"/>
                  </m:rPr>
                  <w:rPr>
                    <w:rFonts w:ascii="DejaVu Math TeX Gyre" w:hAnsi="DejaVu Math TeX Gyre"/>
                  </w:rPr>
                  <m:t> + </m:t>
                </m:r>
                <m:d>
                  <m:dPr>
                    <m:ctrlPr>
                      <w:rPr>
                        <w:rFonts w:ascii="DejaVu Math TeX Gyre" w:hAnsi="DejaVu Math TeX Gyre"/>
                        <w:b/>
                        <w:bCs/>
                        <w:i/>
                        <w:iCs/>
                      </w:rPr>
                    </m:ctrlPr>
                  </m:dPr>
                  <m:e>
                    <m:sSub>
                      <m:sSubPr>
                        <m:ctrlPr>
                          <w:rPr>
                            <w:rFonts w:ascii="DejaVu Math TeX Gyre" w:hAnsi="DejaVu Math TeX Gyre"/>
                            <w:b/>
                            <w:bCs/>
                            <w:i/>
                            <w:iCs/>
                          </w:rPr>
                        </m:ctrlPr>
                      </m:sSubPr>
                      <m:e>
                        <m:r>
                          <m:rPr>
                            <m:sty m:val="bi"/>
                          </m:rPr>
                          <w:rPr>
                            <w:rFonts w:hint="default" w:ascii="DejaVu Math TeX Gyre" w:hAnsi="DejaVu Math TeX Gyre"/>
                          </w:rPr>
                          <m:t>P</m:t>
                        </m:r>
                        <m:ctrlPr>
                          <w:rPr>
                            <w:rFonts w:ascii="DejaVu Math TeX Gyre" w:hAnsi="DejaVu Math TeX Gyre"/>
                            <w:b/>
                            <w:bCs/>
                            <w:i/>
                            <w:iCs/>
                          </w:rPr>
                        </m:ctrlPr>
                      </m:e>
                      <m:sub>
                        <m:r>
                          <m:rPr>
                            <m:sty m:val="bi"/>
                          </m:rPr>
                          <w:rPr>
                            <w:rFonts w:hint="default" w:ascii="DejaVu Math TeX Gyre" w:hAnsi="DejaVu Math TeX Gyre"/>
                          </w:rPr>
                          <m:t>BS,DL(full)</m:t>
                        </m:r>
                        <m:ctrlPr>
                          <w:rPr>
                            <w:rFonts w:ascii="DejaVu Math TeX Gyre" w:hAnsi="DejaVu Math TeX Gyre"/>
                            <w:b/>
                            <w:bCs/>
                            <w:i/>
                            <w:iCs/>
                          </w:rPr>
                        </m:ctrlPr>
                      </m:sub>
                    </m:sSub>
                    <m:r>
                      <m:rPr>
                        <m:sty m:val="bi"/>
                      </m:rPr>
                      <w:rPr>
                        <w:rFonts w:ascii="DejaVu Math TeX Gyre" w:hAnsi="DejaVu Math TeX Gyre"/>
                      </w:rPr>
                      <m:t>−</m:t>
                    </m:r>
                    <m:sSub>
                      <m:sSubPr>
                        <m:ctrlPr>
                          <w:rPr>
                            <w:rFonts w:ascii="DejaVu Math TeX Gyre" w:hAnsi="DejaVu Math TeX Gyre"/>
                            <w:b/>
                            <w:bCs/>
                            <w:i/>
                            <w:iCs/>
                          </w:rPr>
                        </m:ctrlPr>
                      </m:sSubPr>
                      <m:e>
                        <m:r>
                          <m:rPr>
                            <m:sty m:val="bi"/>
                          </m:rPr>
                          <w:rPr>
                            <w:rFonts w:hint="default" w:ascii="DejaVu Math TeX Gyre" w:hAnsi="DejaVu Math TeX Gyre"/>
                          </w:rPr>
                          <m:t>P</m:t>
                        </m:r>
                        <m:ctrlPr>
                          <w:rPr>
                            <w:rFonts w:ascii="DejaVu Math TeX Gyre" w:hAnsi="DejaVu Math TeX Gyre"/>
                            <w:b/>
                            <w:bCs/>
                            <w:i/>
                            <w:iCs/>
                          </w:rPr>
                        </m:ctrlPr>
                      </m:e>
                      <m:sub>
                        <m:r>
                          <m:rPr>
                            <m:sty m:val="bi"/>
                          </m:rPr>
                          <w:rPr>
                            <w:rFonts w:hint="default" w:ascii="DejaVu Math TeX Gyre" w:hAnsi="DejaVu Math TeX Gyre"/>
                          </w:rPr>
                          <m:t>BS,deep</m:t>
                        </m:r>
                        <m:ctrlPr>
                          <w:rPr>
                            <w:rFonts w:ascii="DejaVu Math TeX Gyre" w:hAnsi="DejaVu Math TeX Gyre"/>
                            <w:b/>
                            <w:bCs/>
                            <w:i/>
                            <w:iCs/>
                          </w:rPr>
                        </m:ctrlPr>
                      </m:sub>
                    </m:sSub>
                    <m:ctrlPr>
                      <w:rPr>
                        <w:rFonts w:ascii="DejaVu Math TeX Gyre" w:hAnsi="DejaVu Math TeX Gyre"/>
                        <w:b/>
                        <w:bCs/>
                        <w:i/>
                        <w:iCs/>
                      </w:rPr>
                    </m:ctrlPr>
                  </m:e>
                </m:d>
                <m:r>
                  <m:rPr>
                    <m:sty m:val="bi"/>
                  </m:rPr>
                  <w:rPr>
                    <w:rFonts w:ascii="DejaVu Math TeX Gyre" w:hAnsi="DejaVu Math TeX Gyre"/>
                  </w:rPr>
                  <m:t> </m:t>
                </m:r>
                <m:d>
                  <m:dPr>
                    <m:ctrlPr>
                      <w:rPr>
                        <w:rFonts w:ascii="DejaVu Math TeX Gyre" w:hAnsi="DejaVu Math TeX Gyre"/>
                        <w:b/>
                        <w:bCs/>
                        <w:i/>
                        <w:iCs/>
                      </w:rPr>
                    </m:ctrlPr>
                  </m:dPr>
                  <m:e>
                    <m:sSub>
                      <m:sSubPr>
                        <m:ctrlPr>
                          <w:rPr>
                            <w:rFonts w:ascii="DejaVu Math TeX Gyre" w:hAnsi="DejaVu Math TeX Gyre"/>
                            <w:b/>
                            <w:bCs/>
                            <w:i/>
                            <w:iCs/>
                            <w:color w:val="FF0000"/>
                          </w:rPr>
                        </m:ctrlPr>
                      </m:sSubPr>
                      <m:e>
                        <m:r>
                          <m:rPr>
                            <m:sty m:val="bi"/>
                          </m:rPr>
                          <w:rPr>
                            <w:rFonts w:hint="default" w:ascii="DejaVu Math TeX Gyre" w:hAnsi="DejaVu Math TeX Gyre"/>
                            <w:color w:val="FF0000"/>
                          </w:rPr>
                          <m:t>α</m:t>
                        </m:r>
                        <m:ctrlPr>
                          <w:rPr>
                            <w:rFonts w:ascii="DejaVu Math TeX Gyre" w:hAnsi="DejaVu Math TeX Gyre"/>
                            <w:b/>
                            <w:bCs/>
                            <w:i/>
                            <w:iCs/>
                            <w:color w:val="FF0000"/>
                          </w:rPr>
                        </m:ctrlPr>
                      </m:e>
                      <m:sub>
                        <m:r>
                          <m:rPr>
                            <m:sty m:val="bi"/>
                          </m:rPr>
                          <w:rPr>
                            <w:rFonts w:hint="default" w:ascii="DejaVu Math TeX Gyre" w:hAnsi="DejaVu Math TeX Gyre"/>
                            <w:color w:val="FF0000"/>
                          </w:rPr>
                          <m:t>t</m:t>
                        </m:r>
                        <m:ctrlPr>
                          <w:rPr>
                            <w:rFonts w:ascii="DejaVu Math TeX Gyre" w:hAnsi="DejaVu Math TeX Gyre"/>
                            <w:b/>
                            <w:bCs/>
                            <w:i/>
                            <w:iCs/>
                            <w:color w:val="FF0000"/>
                          </w:rPr>
                        </m:ctrlPr>
                      </m:sub>
                    </m:sSub>
                    <m:r>
                      <m:rPr>
                        <m:sty m:val="bi"/>
                      </m:rPr>
                      <w:rPr>
                        <w:rFonts w:ascii="DejaVu Math TeX Gyre" w:hAnsi="DejaVu Math TeX Gyre"/>
                      </w:rPr>
                      <m:t>⋅</m:t>
                    </m:r>
                    <m:sSub>
                      <m:sSubPr>
                        <m:ctrlPr>
                          <w:rPr>
                            <w:rFonts w:ascii="DejaVu Math TeX Gyre" w:hAnsi="DejaVu Math TeX Gyre"/>
                            <w:b/>
                            <w:bCs/>
                            <w:i/>
                            <w:iCs/>
                          </w:rPr>
                        </m:ctrlPr>
                      </m:sSubPr>
                      <m:e>
                        <m:r>
                          <m:rPr>
                            <m:sty m:val="bi"/>
                          </m:rPr>
                          <w:rPr>
                            <w:rFonts w:hint="default" w:ascii="DejaVu Math TeX Gyre" w:hAnsi="DejaVu Math TeX Gyre"/>
                          </w:rPr>
                          <m:t>α</m:t>
                        </m:r>
                        <m:ctrlPr>
                          <w:rPr>
                            <w:rFonts w:ascii="DejaVu Math TeX Gyre" w:hAnsi="DejaVu Math TeX Gyre"/>
                            <w:b/>
                            <w:bCs/>
                            <w:i/>
                            <w:iCs/>
                          </w:rPr>
                        </m:ctrlPr>
                      </m:e>
                      <m:sub>
                        <m:r>
                          <m:rPr>
                            <m:sty m:val="bi"/>
                          </m:rPr>
                          <w:rPr>
                            <w:rFonts w:hint="default" w:ascii="DejaVu Math TeX Gyre" w:hAnsi="DejaVu Math TeX Gyre"/>
                          </w:rPr>
                          <m:t>f</m:t>
                        </m:r>
                        <m:ctrlPr>
                          <w:rPr>
                            <w:rFonts w:ascii="DejaVu Math TeX Gyre" w:hAnsi="DejaVu Math TeX Gyre"/>
                            <w:b/>
                            <w:bCs/>
                            <w:i/>
                            <w:iCs/>
                          </w:rPr>
                        </m:ctrlPr>
                      </m:sub>
                    </m:sSub>
                    <m:r>
                      <m:rPr>
                        <m:sty m:val="bi"/>
                      </m:rPr>
                      <w:rPr>
                        <w:rFonts w:ascii="DejaVu Math TeX Gyre" w:hAnsi="DejaVu Math TeX Gyre"/>
                      </w:rPr>
                      <m:t>⋅</m:t>
                    </m:r>
                    <m:sSub>
                      <m:sSubPr>
                        <m:ctrlPr>
                          <w:rPr>
                            <w:rFonts w:ascii="DejaVu Math TeX Gyre" w:hAnsi="DejaVu Math TeX Gyre"/>
                            <w:b/>
                            <w:bCs/>
                            <w:i/>
                            <w:iCs/>
                          </w:rPr>
                        </m:ctrlPr>
                      </m:sSubPr>
                      <m:e>
                        <m:r>
                          <m:rPr>
                            <m:sty m:val="bi"/>
                          </m:rPr>
                          <w:rPr>
                            <w:rFonts w:hint="default" w:ascii="DejaVu Math TeX Gyre" w:hAnsi="DejaVu Math TeX Gyre"/>
                          </w:rPr>
                          <m:t>α</m:t>
                        </m:r>
                        <m:ctrlPr>
                          <w:rPr>
                            <w:rFonts w:ascii="DejaVu Math TeX Gyre" w:hAnsi="DejaVu Math TeX Gyre"/>
                            <w:b/>
                            <w:bCs/>
                            <w:i/>
                            <w:iCs/>
                          </w:rPr>
                        </m:ctrlPr>
                      </m:e>
                      <m:sub>
                        <m:r>
                          <m:rPr>
                            <m:sty m:val="bi"/>
                          </m:rPr>
                          <w:rPr>
                            <w:rFonts w:hint="default" w:ascii="DejaVu Math TeX Gyre" w:hAnsi="DejaVu Math TeX Gyre"/>
                          </w:rPr>
                          <m:t>a</m:t>
                        </m:r>
                        <m:ctrlPr>
                          <w:rPr>
                            <w:rFonts w:ascii="DejaVu Math TeX Gyre" w:hAnsi="DejaVu Math TeX Gyre"/>
                            <w:b/>
                            <w:bCs/>
                            <w:i/>
                            <w:iCs/>
                          </w:rPr>
                        </m:ctrlPr>
                      </m:sub>
                    </m:sSub>
                    <m:r>
                      <m:rPr>
                        <m:sty m:val="bi"/>
                      </m:rPr>
                      <w:rPr>
                        <w:rFonts w:ascii="DejaVu Math TeX Gyre" w:hAnsi="DejaVu Math TeX Gyre"/>
                      </w:rPr>
                      <m:t>⋅</m:t>
                    </m:r>
                    <m:sSub>
                      <m:sSubPr>
                        <m:ctrlPr>
                          <w:rPr>
                            <w:rFonts w:ascii="DejaVu Math TeX Gyre" w:hAnsi="DejaVu Math TeX Gyre"/>
                            <w:b/>
                            <w:bCs/>
                            <w:i/>
                            <w:iCs/>
                          </w:rPr>
                        </m:ctrlPr>
                      </m:sSubPr>
                      <m:e>
                        <m:r>
                          <m:rPr>
                            <m:sty m:val="bi"/>
                          </m:rPr>
                          <w:rPr>
                            <w:rFonts w:hint="default" w:ascii="DejaVu Math TeX Gyre" w:hAnsi="DejaVu Math TeX Gyre"/>
                          </w:rPr>
                          <m:t>α</m:t>
                        </m:r>
                        <m:ctrlPr>
                          <w:rPr>
                            <w:rFonts w:ascii="DejaVu Math TeX Gyre" w:hAnsi="DejaVu Math TeX Gyre"/>
                            <w:b/>
                            <w:bCs/>
                            <w:i/>
                            <w:iCs/>
                          </w:rPr>
                        </m:ctrlPr>
                      </m:e>
                      <m:sub>
                        <m:r>
                          <m:rPr>
                            <m:sty m:val="bi"/>
                          </m:rPr>
                          <w:rPr>
                            <w:rFonts w:hint="default" w:ascii="DejaVu Math TeX Gyre" w:hAnsi="DejaVu Math TeX Gyre"/>
                          </w:rPr>
                          <m:t>p</m:t>
                        </m:r>
                        <m:ctrlPr>
                          <w:rPr>
                            <w:rFonts w:ascii="DejaVu Math TeX Gyre" w:hAnsi="DejaVu Math TeX Gyre"/>
                            <w:b/>
                            <w:bCs/>
                            <w:i/>
                            <w:iCs/>
                          </w:rPr>
                        </m:ctrlPr>
                      </m:sub>
                    </m:sSub>
                    <m:ctrlPr>
                      <w:rPr>
                        <w:rFonts w:ascii="DejaVu Math TeX Gyre" w:hAnsi="DejaVu Math TeX Gyre"/>
                        <w:b/>
                        <w:bCs/>
                        <w:i/>
                        <w:iCs/>
                      </w:rPr>
                    </m:ctrlPr>
                  </m:e>
                </m:d>
                <m:r>
                  <m:rPr>
                    <m:sty m:val="bi"/>
                  </m:rPr>
                  <w:rPr>
                    <w:rFonts w:ascii="DejaVu Math TeX Gyre" w:hAnsi="DejaVu Math TeX Gyre"/>
                  </w:rPr>
                  <m:t> .</m:t>
                </m:r>
              </m:oMath>
            </m:oMathPara>
          </w:p>
          <w:p w14:paraId="1BB3E1E4">
            <w:pPr>
              <w:pStyle w:val="5"/>
              <w:widowControl w:val="0"/>
              <w:rPr>
                <w:b/>
                <w:bCs/>
                <w:i/>
                <w:iCs/>
              </w:rPr>
            </w:pPr>
            <w:r>
              <w:rPr>
                <w:b/>
                <w:bCs/>
                <w:i/>
                <w:iCs/>
              </w:rPr>
              <w:t xml:space="preserve">and </w:t>
            </w:r>
            <m:oMath>
              <m:sSub>
                <m:sSubPr>
                  <m:ctrlPr>
                    <w:rPr>
                      <w:rFonts w:ascii="DejaVu Math TeX Gyre" w:hAnsi="DejaVu Math TeX Gyre"/>
                      <w:b/>
                      <w:bCs/>
                      <w:i/>
                      <w:iCs/>
                    </w:rPr>
                  </m:ctrlPr>
                </m:sSubPr>
                <m:e>
                  <m:r>
                    <m:rPr>
                      <m:sty m:val="bi"/>
                    </m:rPr>
                    <w:rPr>
                      <w:rFonts w:hint="default" w:ascii="DejaVu Math TeX Gyre" w:hAnsi="DejaVu Math TeX Gyre"/>
                    </w:rPr>
                    <m:t>P</m:t>
                  </m:r>
                  <m:ctrlPr>
                    <w:rPr>
                      <w:rFonts w:ascii="DejaVu Math TeX Gyre" w:hAnsi="DejaVu Math TeX Gyre"/>
                      <w:b/>
                      <w:bCs/>
                      <w:i/>
                      <w:iCs/>
                    </w:rPr>
                  </m:ctrlPr>
                </m:e>
                <m:sub>
                  <m:r>
                    <m:rPr>
                      <m:sty m:val="bi"/>
                    </m:rPr>
                    <w:rPr>
                      <w:rFonts w:hint="default" w:ascii="DejaVu Math TeX Gyre" w:hAnsi="DejaVu Math TeX Gyre"/>
                    </w:rPr>
                    <m:t>BS,deep</m:t>
                  </m:r>
                  <m:ctrlPr>
                    <w:rPr>
                      <w:rFonts w:ascii="DejaVu Math TeX Gyre" w:hAnsi="DejaVu Math TeX Gyre"/>
                      <w:b/>
                      <w:bCs/>
                      <w:i/>
                      <w:iCs/>
                    </w:rPr>
                  </m:ctrlPr>
                </m:sub>
              </m:sSub>
            </m:oMath>
            <w:r>
              <w:rPr>
                <w:b/>
                <w:bCs/>
                <w:i/>
                <w:iCs/>
              </w:rPr>
              <w:t xml:space="preserve"> be the baseline power in deep sleep. </w:t>
            </w:r>
          </w:p>
          <w:p w14:paraId="3BF0C829">
            <w:pPr>
              <w:pStyle w:val="49"/>
              <w:widowControl w:val="0"/>
              <w:rPr>
                <w:b/>
                <w:bCs/>
                <w:i/>
                <w:iCs/>
                <w:lang w:eastAsia="ko-KR"/>
              </w:rPr>
            </w:pPr>
            <w:r>
              <w:rPr>
                <w:b/>
                <w:bCs/>
                <w:i/>
                <w:iCs/>
                <w:lang w:eastAsia="zh-CN"/>
              </w:rPr>
              <w:t>-</w:t>
            </w:r>
            <w:r>
              <w:rPr>
                <w:b/>
                <w:bCs/>
                <w:i/>
                <w:iCs/>
                <w:lang w:eastAsia="zh-CN"/>
              </w:rPr>
              <w:tab/>
            </w:r>
            <w:r>
              <w:rPr>
                <w:b/>
                <w:bCs/>
                <w:i/>
                <w:iCs/>
                <w:lang w:eastAsia="zh-CN"/>
              </w:rPr>
              <w:t xml:space="preserve">Baseline: </w:t>
            </w:r>
            <m:oMath>
              <m:sSub>
                <m:sSubPr>
                  <m:ctrlPr>
                    <w:rPr>
                      <w:rFonts w:ascii="DejaVu Math TeX Gyre" w:hAnsi="DejaVu Math TeX Gyre"/>
                      <w:b/>
                      <w:bCs/>
                      <w:i/>
                      <w:iCs/>
                    </w:rPr>
                  </m:ctrlPr>
                </m:sSubPr>
                <m:e>
                  <m:r>
                    <m:rPr>
                      <m:sty m:val="bi"/>
                    </m:rPr>
                    <w:rPr>
                      <w:rFonts w:hint="default" w:ascii="DejaVu Math TeX Gyre" w:hAnsi="DejaVu Math TeX Gyre"/>
                    </w:rPr>
                    <m:t>P</m:t>
                  </m:r>
                  <m:ctrlPr>
                    <w:rPr>
                      <w:rFonts w:ascii="DejaVu Math TeX Gyre" w:hAnsi="DejaVu Math TeX Gyre"/>
                      <w:b/>
                      <w:bCs/>
                      <w:i/>
                      <w:iCs/>
                    </w:rPr>
                  </m:ctrlPr>
                </m:e>
                <m:sub>
                  <m:r>
                    <m:rPr>
                      <m:sty m:val="bi"/>
                    </m:rPr>
                    <w:rPr>
                      <w:rFonts w:hint="default" w:ascii="DejaVu Math TeX Gyre" w:hAnsi="DejaVu Math TeX Gyre"/>
                    </w:rPr>
                    <m:t>BS,deep</m:t>
                  </m:r>
                  <m:ctrlPr>
                    <w:rPr>
                      <w:rFonts w:ascii="DejaVu Math TeX Gyre" w:hAnsi="DejaVu Math TeX Gyre"/>
                      <w:b/>
                      <w:bCs/>
                      <w:i/>
                      <w:iCs/>
                    </w:rPr>
                  </m:ctrlPr>
                </m:sub>
              </m:sSub>
              <m:r>
                <m:rPr>
                  <m:sty m:val="bi"/>
                </m:rPr>
                <w:rPr>
                  <w:rFonts w:ascii="DejaVu Math TeX Gyre" w:hAnsi="DejaVu Math TeX Gyre"/>
                  <w:lang w:eastAsia="zh-CN"/>
                </w:rPr>
                <m:t>=</m:t>
              </m:r>
              <m:sSub>
                <m:sSubPr>
                  <m:ctrlPr>
                    <w:rPr>
                      <w:rFonts w:ascii="DejaVu Math TeX Gyre" w:hAnsi="DejaVu Math TeX Gyre"/>
                      <w:b/>
                      <w:bCs/>
                      <w:i/>
                      <w:iCs/>
                    </w:rPr>
                  </m:ctrlPr>
                </m:sSubPr>
                <m:e>
                  <m:r>
                    <m:rPr>
                      <m:sty m:val="bi"/>
                    </m:rPr>
                    <w:rPr>
                      <w:rFonts w:hint="default" w:ascii="DejaVu Math TeX Gyre" w:hAnsi="DejaVu Math TeX Gyre"/>
                      <w:lang w:eastAsia="zh-CN"/>
                    </w:rPr>
                    <m:t>P</m:t>
                  </m:r>
                  <m:ctrlPr>
                    <w:rPr>
                      <w:rFonts w:ascii="DejaVu Math TeX Gyre" w:hAnsi="DejaVu Math TeX Gyre"/>
                      <w:b/>
                      <w:bCs/>
                      <w:i/>
                      <w:iCs/>
                    </w:rPr>
                  </m:ctrlPr>
                </m:e>
                <m:sub>
                  <m:r>
                    <m:rPr>
                      <m:sty m:val="bi"/>
                    </m:rPr>
                    <w:rPr>
                      <w:rFonts w:hint="default" w:ascii="DejaVu Math TeX Gyre" w:hAnsi="DejaVu Math TeX Gyre"/>
                      <w:lang w:eastAsia="zh-CN"/>
                    </w:rPr>
                    <m:t>3</m:t>
                  </m:r>
                  <m:ctrlPr>
                    <w:rPr>
                      <w:rFonts w:ascii="DejaVu Math TeX Gyre" w:hAnsi="DejaVu Math TeX Gyre"/>
                      <w:b/>
                      <w:bCs/>
                      <w:i/>
                      <w:iCs/>
                    </w:rPr>
                  </m:ctrlPr>
                </m:sub>
              </m:sSub>
            </m:oMath>
          </w:p>
          <w:p w14:paraId="38ECA1F2">
            <w:pPr>
              <w:pStyle w:val="49"/>
              <w:widowControl w:val="0"/>
              <w:rPr>
                <w:rFonts w:hint="default" w:hAnsi="Cambria Math"/>
                <w:i w:val="0"/>
                <w:vertAlign w:val="baseline"/>
                <w:lang w:val="en-US" w:eastAsia="zh-CN"/>
              </w:rPr>
            </w:pPr>
            <w:r>
              <w:rPr>
                <w:b/>
                <w:bCs/>
                <w:i/>
                <w:iCs/>
                <w:lang w:eastAsia="zh-CN"/>
              </w:rPr>
              <w:t>-</w:t>
            </w:r>
            <w:r>
              <w:rPr>
                <w:b/>
                <w:bCs/>
                <w:i/>
                <w:iCs/>
                <w:lang w:eastAsia="zh-CN"/>
              </w:rPr>
              <w:tab/>
            </w:r>
            <w:r>
              <w:rPr>
                <w:b/>
                <w:bCs/>
                <w:i/>
                <w:iCs/>
                <w:lang w:eastAsia="zh-CN"/>
              </w:rPr>
              <w:t xml:space="preserve">Optional: </w:t>
            </w:r>
            <m:oMath>
              <m:sSub>
                <m:sSubPr>
                  <m:ctrlPr>
                    <w:rPr>
                      <w:rFonts w:ascii="DejaVu Math TeX Gyre" w:hAnsi="DejaVu Math TeX Gyre"/>
                      <w:b/>
                      <w:bCs/>
                      <w:i/>
                      <w:iCs/>
                    </w:rPr>
                  </m:ctrlPr>
                </m:sSubPr>
                <m:e>
                  <m:r>
                    <m:rPr>
                      <m:sty m:val="bi"/>
                    </m:rPr>
                    <w:rPr>
                      <w:rFonts w:hint="default" w:ascii="DejaVu Math TeX Gyre" w:hAnsi="DejaVu Math TeX Gyre"/>
                    </w:rPr>
                    <m:t>P</m:t>
                  </m:r>
                  <m:ctrlPr>
                    <w:rPr>
                      <w:rFonts w:ascii="DejaVu Math TeX Gyre" w:hAnsi="DejaVu Math TeX Gyre"/>
                      <w:b/>
                      <w:bCs/>
                      <w:i/>
                      <w:iCs/>
                    </w:rPr>
                  </m:ctrlPr>
                </m:e>
                <m:sub>
                  <m:r>
                    <m:rPr>
                      <m:sty m:val="bi"/>
                    </m:rPr>
                    <w:rPr>
                      <w:rFonts w:hint="default" w:ascii="DejaVu Math TeX Gyre" w:hAnsi="DejaVu Math TeX Gyre"/>
                    </w:rPr>
                    <m:t>BS,deep</m:t>
                  </m:r>
                  <m:ctrlPr>
                    <w:rPr>
                      <w:rFonts w:ascii="DejaVu Math TeX Gyre" w:hAnsi="DejaVu Math TeX Gyre"/>
                      <w:b/>
                      <w:bCs/>
                      <w:i/>
                      <w:iCs/>
                    </w:rPr>
                  </m:ctrlPr>
                </m:sub>
              </m:sSub>
              <m:r>
                <m:rPr>
                  <m:sty m:val="bi"/>
                </m:rPr>
                <w:rPr>
                  <w:rFonts w:ascii="DejaVu Math TeX Gyre" w:hAnsi="DejaVu Math TeX Gyre"/>
                  <w:lang w:eastAsia="zh-CN"/>
                </w:rPr>
                <m:t>=</m:t>
              </m:r>
              <m:r>
                <m:rPr>
                  <m:sty m:val="bi"/>
                </m:rPr>
                <w:rPr>
                  <w:rFonts w:hint="default" w:ascii="DejaVu Math TeX Gyre" w:hAnsi="DejaVu Math TeX Gyre"/>
                  <w:color w:val="FF0000"/>
                  <w:lang w:val="en-US" w:eastAsia="zh-CN"/>
                </w:rPr>
                <m:t>[</m:t>
              </m:r>
              <m:r>
                <m:rPr>
                  <m:sty m:val="bi"/>
                </m:rPr>
                <w:rPr>
                  <w:rFonts w:hint="default" w:ascii="DejaVu Math TeX Gyre" w:hAnsi="DejaVu Math TeX Gyre"/>
                  <w:color w:val="FF0000"/>
                  <w:lang w:eastAsia="zh-CN"/>
                </w:rPr>
                <m:t>1.5</m:t>
              </m:r>
              <m:r>
                <m:rPr>
                  <m:sty m:val="bi"/>
                </m:rPr>
                <w:rPr>
                  <w:rFonts w:hint="default" w:ascii="DejaVu Math TeX Gyre" w:hAnsi="DejaVu Math TeX Gyre"/>
                  <w:color w:val="FF0000"/>
                  <w:lang w:val="en-US" w:eastAsia="zh-CN"/>
                </w:rPr>
                <m:t>]</m:t>
              </m:r>
              <m:r>
                <m:rPr>
                  <m:sty m:val="bi"/>
                </m:rPr>
                <w:rPr>
                  <w:rFonts w:ascii="DejaVu Math TeX Gyre" w:hAnsi="DejaVu Math TeX Gyre"/>
                  <w:lang w:eastAsia="zh-CN"/>
                </w:rPr>
                <m:t>∗</m:t>
              </m:r>
              <m:sSub>
                <m:sSubPr>
                  <m:ctrlPr>
                    <w:rPr>
                      <w:rFonts w:ascii="DejaVu Math TeX Gyre" w:hAnsi="DejaVu Math TeX Gyre"/>
                      <w:b/>
                      <w:bCs/>
                      <w:i/>
                      <w:iCs/>
                    </w:rPr>
                  </m:ctrlPr>
                </m:sSubPr>
                <m:e>
                  <m:r>
                    <m:rPr>
                      <m:sty m:val="bi"/>
                    </m:rPr>
                    <w:rPr>
                      <w:rFonts w:hint="default" w:ascii="DejaVu Math TeX Gyre" w:hAnsi="DejaVu Math TeX Gyre"/>
                      <w:lang w:eastAsia="zh-CN"/>
                    </w:rPr>
                    <m:t>P</m:t>
                  </m:r>
                  <m:ctrlPr>
                    <w:rPr>
                      <w:rFonts w:ascii="DejaVu Math TeX Gyre" w:hAnsi="DejaVu Math TeX Gyre"/>
                      <w:b/>
                      <w:bCs/>
                      <w:i/>
                      <w:iCs/>
                    </w:rPr>
                  </m:ctrlPr>
                </m:e>
                <m:sub>
                  <m:r>
                    <m:rPr>
                      <m:sty m:val="bi"/>
                    </m:rPr>
                    <w:rPr>
                      <w:rFonts w:hint="default" w:ascii="DejaVu Math TeX Gyre" w:hAnsi="DejaVu Math TeX Gyre"/>
                      <w:lang w:eastAsia="zh-CN"/>
                    </w:rPr>
                    <m:t>3</m:t>
                  </m:r>
                  <m:ctrlPr>
                    <w:rPr>
                      <w:rFonts w:ascii="DejaVu Math TeX Gyre" w:hAnsi="DejaVu Math TeX Gyre"/>
                      <w:b/>
                      <w:bCs/>
                      <w:i/>
                      <w:iCs/>
                    </w:rPr>
                  </m:ctrlPr>
                </m:sub>
              </m:sSub>
            </m:oMath>
          </w:p>
        </w:tc>
      </w:tr>
      <w:tr w14:paraId="0C00E879">
        <w:tc>
          <w:tcPr>
            <w:tcW w:w="2162" w:type="dxa"/>
          </w:tcPr>
          <w:p w14:paraId="01BF8FE6">
            <w:pPr>
              <w:pStyle w:val="5"/>
              <w:widowControl w:val="0"/>
              <w:rPr>
                <w:rFonts w:hint="default" w:hAnsi="Cambria Math"/>
                <w:i w:val="0"/>
                <w:vertAlign w:val="baseline"/>
                <w:lang w:val="en-US" w:eastAsia="zh-CN"/>
              </w:rPr>
            </w:pPr>
            <w:r>
              <w:rPr>
                <w:rFonts w:hint="eastAsia"/>
                <w:b/>
                <w:bCs/>
                <w:i/>
                <w:iCs/>
                <w:lang w:val="en-US" w:eastAsia="zh-CN"/>
              </w:rPr>
              <w:t>A</w:t>
            </w:r>
            <w:r>
              <w:rPr>
                <w:rFonts w:hint="default"/>
                <w:b/>
                <w:bCs/>
                <w:i/>
                <w:iCs/>
                <w:lang w:val="en-US" w:eastAsia="zh-CN"/>
              </w:rPr>
              <w:t xml:space="preserve">ctive </w:t>
            </w:r>
            <w:r>
              <w:rPr>
                <w:rFonts w:hint="eastAsia"/>
                <w:b/>
                <w:bCs/>
                <w:i/>
                <w:iCs/>
                <w:lang w:val="en-US" w:eastAsia="zh-CN"/>
              </w:rPr>
              <w:t>U</w:t>
            </w:r>
            <w:r>
              <w:rPr>
                <w:rFonts w:hint="default"/>
                <w:b/>
                <w:bCs/>
                <w:i/>
                <w:iCs/>
                <w:lang w:val="en-US" w:eastAsia="zh-CN"/>
              </w:rPr>
              <w:t>L transmission</w:t>
            </w:r>
          </w:p>
        </w:tc>
        <w:tc>
          <w:tcPr>
            <w:tcW w:w="7371" w:type="dxa"/>
          </w:tcPr>
          <w:p w14:paraId="4C491660">
            <w:pPr>
              <w:pStyle w:val="5"/>
              <w:widowControl w:val="0"/>
              <w:rPr>
                <w:rFonts w:hAnsi="Cambria Math"/>
                <w:b/>
                <w:bCs/>
                <w:i w:val="0"/>
              </w:rPr>
            </w:pPr>
            <m:oMathPara>
              <m:oMathParaPr>
                <m:jc m:val="center"/>
              </m:oMathParaPr>
              <m:oMath>
                <m:sSubSup>
                  <m:sSubSupPr>
                    <m:ctrlPr>
                      <w:rPr>
                        <w:rFonts w:ascii="DejaVu Math TeX Gyre" w:hAnsi="DejaVu Math TeX Gyre"/>
                        <w:b/>
                        <w:bCs/>
                      </w:rPr>
                    </m:ctrlPr>
                  </m:sSubSupPr>
                  <m:e>
                    <m:r>
                      <m:rPr>
                        <m:sty m:val="bi"/>
                      </m:rPr>
                      <w:rPr>
                        <w:rFonts w:hint="default" w:ascii="DejaVu Math TeX Gyre" w:hAnsi="DejaVu Math TeX Gyre"/>
                      </w:rPr>
                      <m:t>P</m:t>
                    </m:r>
                    <m:ctrlPr>
                      <w:rPr>
                        <w:rFonts w:ascii="DejaVu Math TeX Gyre" w:hAnsi="DejaVu Math TeX Gyre"/>
                        <w:b/>
                        <w:bCs/>
                      </w:rPr>
                    </m:ctrlPr>
                  </m:e>
                  <m:sub>
                    <m:r>
                      <m:rPr>
                        <m:nor/>
                        <m:sty m:val="b"/>
                      </m:rPr>
                      <w:rPr>
                        <w:rFonts w:ascii="DejaVu Math TeX Gyre" w:hAnsi="DejaVu Math TeX Gyre"/>
                        <w:b/>
                        <w:bCs/>
                        <w:i w:val="0"/>
                      </w:rPr>
                      <m:t>BS</m:t>
                    </m:r>
                    <m:ctrlPr>
                      <w:rPr>
                        <w:rFonts w:ascii="DejaVu Math TeX Gyre" w:hAnsi="DejaVu Math TeX Gyre"/>
                        <w:b/>
                        <w:bCs/>
                      </w:rPr>
                    </m:ctrlPr>
                  </m:sub>
                  <m:sup>
                    <m:r>
                      <m:rPr>
                        <m:sty m:val="bi"/>
                      </m:rPr>
                      <w:rPr>
                        <w:rFonts w:hint="default" w:ascii="DejaVu Math TeX Gyre" w:hAnsi="DejaVu Math TeX Gyre"/>
                        <w:lang w:val="en-US"/>
                      </w:rPr>
                      <m:t>U</m:t>
                    </m:r>
                    <m:r>
                      <m:rPr>
                        <m:sty m:val="bi"/>
                      </m:rPr>
                      <w:rPr>
                        <w:rFonts w:hint="default" w:ascii="DejaVu Math TeX Gyre" w:hAnsi="DejaVu Math TeX Gyre"/>
                      </w:rPr>
                      <m:t>L</m:t>
                    </m:r>
                    <m:ctrlPr>
                      <w:rPr>
                        <w:rFonts w:ascii="DejaVu Math TeX Gyre" w:hAnsi="DejaVu Math TeX Gyre"/>
                        <w:b/>
                        <w:bCs/>
                      </w:rPr>
                    </m:ctrlPr>
                  </m:sup>
                </m:sSubSup>
                <m:r>
                  <m:rPr>
                    <m:sty m:val="b"/>
                  </m:rPr>
                  <w:rPr>
                    <w:rFonts w:ascii="DejaVu Math TeX Gyre" w:hAnsi="DejaVu Math TeX Gyre"/>
                  </w:rPr>
                  <m:t>=</m:t>
                </m:r>
                <m:r>
                  <m:rPr>
                    <m:sty m:val="bi"/>
                  </m:rPr>
                  <w:rPr>
                    <w:rFonts w:ascii="DejaVu Math TeX Gyre" w:hAnsi="DejaVu Math TeX Gyre"/>
                  </w:rPr>
                  <m:t> </m:t>
                </m:r>
                <m:sSub>
                  <m:sSubPr>
                    <m:ctrlPr>
                      <w:rPr>
                        <w:rFonts w:ascii="DejaVu Math TeX Gyre" w:hAnsi="DejaVu Math TeX Gyre"/>
                        <w:b/>
                        <w:bCs/>
                      </w:rPr>
                    </m:ctrlPr>
                  </m:sSubPr>
                  <m:e>
                    <m:r>
                      <m:rPr>
                        <m:sty m:val="bi"/>
                      </m:rPr>
                      <w:rPr>
                        <w:rFonts w:hint="default" w:ascii="DejaVu Math TeX Gyre" w:hAnsi="DejaVu Math TeX Gyre"/>
                      </w:rPr>
                      <m:t>P</m:t>
                    </m:r>
                    <m:ctrlPr>
                      <w:rPr>
                        <w:rFonts w:ascii="DejaVu Math TeX Gyre" w:hAnsi="DejaVu Math TeX Gyre"/>
                        <w:b/>
                        <w:bCs/>
                      </w:rPr>
                    </m:ctrlPr>
                  </m:e>
                  <m:sub>
                    <m:r>
                      <m:rPr>
                        <m:sty m:val="bi"/>
                      </m:rPr>
                      <w:rPr>
                        <w:rFonts w:hint="default" w:ascii="DejaVu Math TeX Gyre" w:hAnsi="DejaVu Math TeX Gyre"/>
                      </w:rPr>
                      <m:t>BS</m:t>
                    </m:r>
                    <m:r>
                      <m:rPr>
                        <m:sty m:val="b"/>
                      </m:rPr>
                      <w:rPr>
                        <w:rFonts w:hint="default" w:ascii="DejaVu Math TeX Gyre" w:hAnsi="DejaVu Math TeX Gyre"/>
                      </w:rPr>
                      <m:t>,deep</m:t>
                    </m:r>
                    <m:ctrlPr>
                      <w:rPr>
                        <w:rFonts w:ascii="DejaVu Math TeX Gyre" w:hAnsi="DejaVu Math TeX Gyre"/>
                        <w:b/>
                        <w:bCs/>
                      </w:rPr>
                    </m:ctrlPr>
                  </m:sub>
                </m:sSub>
                <m:r>
                  <m:rPr>
                    <m:sty m:val="bi"/>
                  </m:rPr>
                  <w:rPr>
                    <w:rFonts w:ascii="DejaVu Math TeX Gyre" w:hAnsi="DejaVu Math TeX Gyre"/>
                  </w:rPr>
                  <m:t> </m:t>
                </m:r>
                <m:r>
                  <m:rPr>
                    <m:sty m:val="b"/>
                  </m:rPr>
                  <w:rPr>
                    <w:rFonts w:ascii="DejaVu Math TeX Gyre" w:hAnsi="DejaVu Math TeX Gyre"/>
                  </w:rPr>
                  <m:t>+</m:t>
                </m:r>
                <m:sSubSup>
                  <m:sSubSupPr>
                    <m:ctrlPr>
                      <w:rPr>
                        <w:rFonts w:ascii="DejaVu Math TeX Gyre" w:hAnsi="DejaVu Math TeX Gyre"/>
                        <w:b/>
                        <w:bCs/>
                      </w:rPr>
                    </m:ctrlPr>
                  </m:sSubSupPr>
                  <m:e>
                    <m:r>
                      <m:rPr>
                        <m:sty m:val="bi"/>
                      </m:rPr>
                      <w:rPr>
                        <w:rFonts w:hint="default" w:ascii="DejaVu Math TeX Gyre" w:hAnsi="DejaVu Math TeX Gyre"/>
                      </w:rPr>
                      <m:t>P</m:t>
                    </m:r>
                    <m:ctrlPr>
                      <w:rPr>
                        <w:rFonts w:ascii="DejaVu Math TeX Gyre" w:hAnsi="DejaVu Math TeX Gyre"/>
                        <w:b/>
                        <w:bCs/>
                      </w:rPr>
                    </m:ctrlPr>
                  </m:e>
                  <m:sub>
                    <m:r>
                      <m:rPr>
                        <m:sty m:val="b"/>
                      </m:rPr>
                      <w:rPr>
                        <w:rFonts w:hint="default" w:ascii="DejaVu Math TeX Gyre" w:hAnsi="DejaVu Math TeX Gyre"/>
                        <w:lang w:val="en-US"/>
                      </w:rPr>
                      <m:t>dynamic</m:t>
                    </m:r>
                    <m:ctrlPr>
                      <w:rPr>
                        <w:rFonts w:ascii="DejaVu Math TeX Gyre" w:hAnsi="DejaVu Math TeX Gyre"/>
                        <w:b/>
                        <w:bCs/>
                      </w:rPr>
                    </m:ctrlPr>
                  </m:sub>
                  <m:sup>
                    <m:r>
                      <m:rPr>
                        <m:sty m:val="bi"/>
                      </m:rPr>
                      <w:rPr>
                        <w:rFonts w:hint="default" w:ascii="DejaVu Math TeX Gyre" w:hAnsi="DejaVu Math TeX Gyre"/>
                        <w:lang w:val="en-US"/>
                      </w:rPr>
                      <m:t>U</m:t>
                    </m:r>
                    <m:r>
                      <m:rPr>
                        <m:sty m:val="bi"/>
                      </m:rPr>
                      <w:rPr>
                        <w:rFonts w:hint="default" w:ascii="DejaVu Math TeX Gyre" w:hAnsi="DejaVu Math TeX Gyre"/>
                      </w:rPr>
                      <m:t>L</m:t>
                    </m:r>
                    <m:ctrlPr>
                      <w:rPr>
                        <w:rFonts w:ascii="DejaVu Math TeX Gyre" w:hAnsi="DejaVu Math TeX Gyre"/>
                        <w:b/>
                        <w:bCs/>
                      </w:rPr>
                    </m:ctrlPr>
                  </m:sup>
                </m:sSubSup>
                <m:r>
                  <m:rPr>
                    <m:sty m:val="bi"/>
                  </m:rPr>
                  <w:rPr>
                    <w:rFonts w:ascii="DejaVu Math TeX Gyre" w:hAnsi="DejaVu Math TeX Gyre"/>
                  </w:rPr>
                  <m:t> </m:t>
                </m:r>
                <m:r>
                  <m:rPr>
                    <m:sty m:val="b"/>
                  </m:rPr>
                  <w:rPr>
                    <w:rFonts w:ascii="DejaVu Math TeX Gyre" w:hAnsi="DejaVu Math TeX Gyre"/>
                  </w:rPr>
                  <m:t>.</m:t>
                </m:r>
              </m:oMath>
            </m:oMathPara>
          </w:p>
          <w:p w14:paraId="1E1F04ED">
            <w:pPr>
              <w:pStyle w:val="48"/>
              <w:widowControl w:val="0"/>
              <w:ind w:left="0" w:leftChars="0" w:firstLine="0" w:firstLineChars="0"/>
              <w:rPr>
                <w:b/>
                <w:bCs/>
                <w:lang w:eastAsia="zh-CN"/>
              </w:rPr>
            </w:pPr>
            <w:r>
              <w:rPr>
                <w:rFonts w:hint="default" w:hAnsi="Cambria Math"/>
                <w:b/>
                <w:bCs/>
                <w:i w:val="0"/>
                <w:lang w:val="en-US"/>
              </w:rPr>
              <w:t xml:space="preserve">here, </w:t>
            </w:r>
          </w:p>
          <w:p w14:paraId="7ACE4FE9">
            <w:pPr>
              <w:pStyle w:val="49"/>
              <w:widowControl w:val="0"/>
              <w:rPr>
                <w:b/>
                <w:bCs/>
                <w:lang w:eastAsia="zh-CN"/>
              </w:rPr>
            </w:pPr>
            <w:r>
              <w:rPr>
                <w:b/>
                <w:bCs/>
                <w:lang w:eastAsia="zh-CN"/>
              </w:rPr>
              <w:t>-</w:t>
            </w:r>
            <w:r>
              <w:rPr>
                <w:b/>
                <w:bCs/>
                <w:lang w:eastAsia="zh-CN"/>
              </w:rPr>
              <w:tab/>
            </w:r>
            <m:oMath>
              <m:sSub>
                <m:sSubPr>
                  <m:ctrlPr>
                    <w:rPr>
                      <w:rFonts w:ascii="DejaVu Math TeX Gyre" w:hAnsi="DejaVu Math TeX Gyre"/>
                      <w:b/>
                      <w:bCs/>
                    </w:rPr>
                  </m:ctrlPr>
                </m:sSubPr>
                <m:e>
                  <m:r>
                    <m:rPr>
                      <m:sty m:val="bi"/>
                    </m:rPr>
                    <w:rPr>
                      <w:rFonts w:hint="default" w:ascii="DejaVu Math TeX Gyre" w:hAnsi="DejaVu Math TeX Gyre"/>
                    </w:rPr>
                    <m:t>P</m:t>
                  </m:r>
                  <m:ctrlPr>
                    <w:rPr>
                      <w:rFonts w:ascii="DejaVu Math TeX Gyre" w:hAnsi="DejaVu Math TeX Gyre"/>
                      <w:b/>
                      <w:bCs/>
                    </w:rPr>
                  </m:ctrlPr>
                </m:e>
                <m:sub>
                  <m:r>
                    <m:rPr>
                      <m:sty m:val="bi"/>
                    </m:rPr>
                    <w:rPr>
                      <w:rFonts w:hint="default" w:ascii="DejaVu Math TeX Gyre" w:hAnsi="DejaVu Math TeX Gyre"/>
                    </w:rPr>
                    <m:t>BS,deep</m:t>
                  </m:r>
                  <m:ctrlPr>
                    <w:rPr>
                      <w:rFonts w:ascii="DejaVu Math TeX Gyre" w:hAnsi="DejaVu Math TeX Gyre"/>
                      <w:b/>
                      <w:bCs/>
                    </w:rPr>
                  </m:ctrlPr>
                </m:sub>
              </m:sSub>
              <m:r>
                <m:rPr>
                  <m:sty m:val="b"/>
                </m:rPr>
                <w:rPr>
                  <w:rFonts w:ascii="DejaVu Math TeX Gyre" w:hAnsi="DejaVu Math TeX Gyre"/>
                  <w:lang w:eastAsia="zh-CN"/>
                </w:rPr>
                <m:t>=</m:t>
              </m:r>
              <m:sSub>
                <m:sSubPr>
                  <m:ctrlPr>
                    <w:rPr>
                      <w:rFonts w:ascii="DejaVu Math TeX Gyre" w:hAnsi="DejaVu Math TeX Gyre"/>
                      <w:b/>
                      <w:bCs/>
                      <w:lang w:eastAsia="zh-CN"/>
                    </w:rPr>
                  </m:ctrlPr>
                </m:sSubPr>
                <m:e>
                  <m:r>
                    <m:rPr>
                      <m:sty m:val="bi"/>
                    </m:rPr>
                    <w:rPr>
                      <w:rFonts w:hint="default" w:ascii="DejaVu Math TeX Gyre" w:hAnsi="DejaVu Math TeX Gyre"/>
                      <w:lang w:eastAsia="zh-CN"/>
                    </w:rPr>
                    <m:t>P</m:t>
                  </m:r>
                  <m:ctrlPr>
                    <w:rPr>
                      <w:rFonts w:ascii="DejaVu Math TeX Gyre" w:hAnsi="DejaVu Math TeX Gyre"/>
                      <w:b/>
                      <w:bCs/>
                      <w:lang w:eastAsia="zh-CN"/>
                    </w:rPr>
                  </m:ctrlPr>
                </m:e>
                <m:sub>
                  <m:r>
                    <m:rPr>
                      <m:sty m:val="b"/>
                    </m:rPr>
                    <w:rPr>
                      <w:rFonts w:hint="default" w:ascii="DejaVu Math TeX Gyre" w:hAnsi="DejaVu Math TeX Gyre"/>
                      <w:lang w:eastAsia="zh-CN"/>
                    </w:rPr>
                    <m:t>3</m:t>
                  </m:r>
                  <m:ctrlPr>
                    <w:rPr>
                      <w:rFonts w:ascii="DejaVu Math TeX Gyre" w:hAnsi="DejaVu Math TeX Gyre"/>
                      <w:b/>
                      <w:bCs/>
                      <w:lang w:eastAsia="zh-CN"/>
                    </w:rPr>
                  </m:ctrlPr>
                </m:sub>
              </m:sSub>
              <m:r>
                <m:rPr>
                  <m:sty m:val="b"/>
                </m:rPr>
                <w:rPr>
                  <w:rFonts w:ascii="DejaVu Math TeX Gyre" w:hAnsi="DejaVu Math TeX Gyre"/>
                  <w:lang w:eastAsia="zh-CN"/>
                </w:rPr>
                <m:t xml:space="preserve"> </m:t>
              </m:r>
            </m:oMath>
          </w:p>
          <w:p w14:paraId="57AC9F0E">
            <w:pPr>
              <w:pStyle w:val="49"/>
              <w:widowControl w:val="0"/>
              <w:rPr>
                <w:rFonts w:hint="default" w:hAnsi="Cambria Math"/>
                <w:i w:val="0"/>
                <w:vertAlign w:val="baseline"/>
                <w:lang w:val="en-US" w:eastAsia="zh-CN"/>
              </w:rPr>
            </w:pPr>
            <w:r>
              <w:rPr>
                <w:b/>
                <w:bCs/>
                <w:lang w:eastAsia="zh-CN"/>
              </w:rPr>
              <w:t>-</w:t>
            </w:r>
            <w:r>
              <w:rPr>
                <w:b/>
                <w:bCs/>
                <w:lang w:eastAsia="zh-CN"/>
              </w:rPr>
              <w:tab/>
            </w:r>
            <m:oMath>
              <m:sSubSup>
                <m:sSubSupPr>
                  <m:ctrlPr>
                    <w:rPr>
                      <w:rFonts w:ascii="DejaVu Math TeX Gyre" w:hAnsi="DejaVu Math TeX Gyre"/>
                      <w:b/>
                      <w:bCs/>
                      <w:lang w:eastAsia="zh-CN"/>
                    </w:rPr>
                  </m:ctrlPr>
                </m:sSubSupPr>
                <m:e>
                  <m:r>
                    <m:rPr>
                      <m:sty m:val="bi"/>
                    </m:rPr>
                    <w:rPr>
                      <w:rFonts w:hint="default" w:ascii="DejaVu Math TeX Gyre" w:hAnsi="DejaVu Math TeX Gyre"/>
                      <w:lang w:eastAsia="zh-CN"/>
                    </w:rPr>
                    <m:t>P</m:t>
                  </m:r>
                  <m:ctrlPr>
                    <w:rPr>
                      <w:rFonts w:ascii="DejaVu Math TeX Gyre" w:hAnsi="DejaVu Math TeX Gyre"/>
                      <w:b/>
                      <w:bCs/>
                      <w:lang w:eastAsia="zh-CN"/>
                    </w:rPr>
                  </m:ctrlPr>
                </m:e>
                <m:sub>
                  <m:r>
                    <m:rPr>
                      <m:sty m:val="b"/>
                    </m:rPr>
                    <w:rPr>
                      <w:rFonts w:hint="default" w:ascii="DejaVu Math TeX Gyre" w:hAnsi="DejaVu Math TeX Gyre"/>
                      <w:lang w:val="en-US"/>
                    </w:rPr>
                    <m:t>dynamic</m:t>
                  </m:r>
                  <m:ctrlPr>
                    <w:rPr>
                      <w:rFonts w:ascii="DejaVu Math TeX Gyre" w:hAnsi="DejaVu Math TeX Gyre"/>
                      <w:b/>
                      <w:bCs/>
                      <w:lang w:eastAsia="zh-CN"/>
                    </w:rPr>
                  </m:ctrlPr>
                </m:sub>
                <m:sup>
                  <m:r>
                    <m:rPr>
                      <m:sty m:val="bi"/>
                    </m:rPr>
                    <w:rPr>
                      <w:rFonts w:hint="default" w:ascii="DejaVu Math TeX Gyre" w:hAnsi="DejaVu Math TeX Gyre"/>
                      <w:lang w:eastAsia="zh-CN"/>
                    </w:rPr>
                    <m:t>UL</m:t>
                  </m:r>
                  <m:ctrlPr>
                    <w:rPr>
                      <w:rFonts w:ascii="DejaVu Math TeX Gyre" w:hAnsi="DejaVu Math TeX Gyre"/>
                      <w:b/>
                      <w:bCs/>
                      <w:lang w:eastAsia="zh-CN"/>
                    </w:rPr>
                  </m:ctrlPr>
                </m:sup>
              </m:sSubSup>
              <m:r>
                <m:rPr>
                  <m:sty m:val="b"/>
                </m:rPr>
                <w:rPr>
                  <w:rFonts w:ascii="DejaVu Math TeX Gyre" w:hAnsi="DejaVu Math TeX Gyre"/>
                  <w:lang w:eastAsia="zh-CN"/>
                </w:rPr>
                <m:t>=</m:t>
              </m:r>
              <m:sSub>
                <m:sSubPr>
                  <m:ctrlPr>
                    <w:rPr>
                      <w:rFonts w:ascii="DejaVu Math TeX Gyre" w:hAnsi="DejaVu Math TeX Gyre"/>
                      <w:b/>
                      <w:bCs/>
                      <w:lang w:eastAsia="zh-CN"/>
                    </w:rPr>
                  </m:ctrlPr>
                </m:sSubPr>
                <m:e>
                  <m:r>
                    <m:rPr>
                      <m:sty m:val="bi"/>
                    </m:rPr>
                    <w:rPr>
                      <w:rFonts w:hint="default" w:ascii="DejaVu Math TeX Gyre" w:hAnsi="DejaVu Math TeX Gyre"/>
                      <w:lang w:eastAsia="zh-CN"/>
                    </w:rPr>
                    <m:t>P</m:t>
                  </m:r>
                  <m:ctrlPr>
                    <w:rPr>
                      <w:rFonts w:ascii="DejaVu Math TeX Gyre" w:hAnsi="DejaVu Math TeX Gyre"/>
                      <w:b/>
                      <w:bCs/>
                      <w:lang w:eastAsia="zh-CN"/>
                    </w:rPr>
                  </m:ctrlPr>
                </m:e>
                <m:sub>
                  <m:r>
                    <m:rPr>
                      <m:sty m:val="b"/>
                    </m:rPr>
                    <w:rPr>
                      <w:rFonts w:hint="default" w:ascii="DejaVu Math TeX Gyre" w:hAnsi="DejaVu Math TeX Gyre"/>
                      <w:lang w:eastAsia="zh-CN"/>
                    </w:rPr>
                    <m:t>5</m:t>
                  </m:r>
                  <m:ctrlPr>
                    <w:rPr>
                      <w:rFonts w:ascii="DejaVu Math TeX Gyre" w:hAnsi="DejaVu Math TeX Gyre"/>
                      <w:b/>
                      <w:bCs/>
                      <w:lang w:eastAsia="zh-CN"/>
                    </w:rPr>
                  </m:ctrlPr>
                </m:sub>
              </m:sSub>
              <m:r>
                <m:rPr>
                  <m:sty m:val="b"/>
                </m:rPr>
                <w:rPr>
                  <w:rFonts w:ascii="DejaVu Math TeX Gyre" w:hAnsi="DejaVu Math TeX Gyre"/>
                  <w:lang w:eastAsia="zh-CN"/>
                </w:rPr>
                <m:t>−</m:t>
              </m:r>
              <m:sSub>
                <m:sSubPr>
                  <m:ctrlPr>
                    <w:rPr>
                      <w:rFonts w:ascii="DejaVu Math TeX Gyre" w:hAnsi="DejaVu Math TeX Gyre"/>
                      <w:b/>
                      <w:bCs/>
                      <w:lang w:eastAsia="zh-CN"/>
                    </w:rPr>
                  </m:ctrlPr>
                </m:sSubPr>
                <m:e>
                  <m:r>
                    <m:rPr>
                      <m:sty m:val="bi"/>
                    </m:rPr>
                    <w:rPr>
                      <w:rFonts w:hint="default" w:ascii="DejaVu Math TeX Gyre" w:hAnsi="DejaVu Math TeX Gyre"/>
                      <w:lang w:eastAsia="zh-CN"/>
                    </w:rPr>
                    <m:t>P</m:t>
                  </m:r>
                  <m:ctrlPr>
                    <w:rPr>
                      <w:rFonts w:ascii="DejaVu Math TeX Gyre" w:hAnsi="DejaVu Math TeX Gyre"/>
                      <w:b/>
                      <w:bCs/>
                      <w:lang w:eastAsia="zh-CN"/>
                    </w:rPr>
                  </m:ctrlPr>
                </m:e>
                <m:sub>
                  <m:r>
                    <m:rPr>
                      <m:sty m:val="b"/>
                    </m:rPr>
                    <w:rPr>
                      <w:rFonts w:hint="default" w:ascii="DejaVu Math TeX Gyre" w:hAnsi="DejaVu Math TeX Gyre"/>
                      <w:lang w:eastAsia="zh-CN"/>
                    </w:rPr>
                    <m:t>3</m:t>
                  </m:r>
                  <m:ctrlPr>
                    <w:rPr>
                      <w:rFonts w:ascii="DejaVu Math TeX Gyre" w:hAnsi="DejaVu Math TeX Gyre"/>
                      <w:b/>
                      <w:bCs/>
                      <w:lang w:eastAsia="zh-CN"/>
                    </w:rPr>
                  </m:ctrlPr>
                </m:sub>
              </m:sSub>
            </m:oMath>
            <w:r>
              <w:rPr>
                <w:b/>
                <w:bCs/>
                <w:lang w:eastAsia="zh-CN"/>
              </w:rPr>
              <w:t xml:space="preserve"> when no scaling is applied (i.e. scaling factor is 1).</w:t>
            </w:r>
          </w:p>
        </w:tc>
      </w:tr>
      <w:tr w14:paraId="0A16AD32">
        <w:tc>
          <w:tcPr>
            <w:tcW w:w="2162" w:type="dxa"/>
          </w:tcPr>
          <w:p w14:paraId="01C38B26">
            <w:pPr>
              <w:pStyle w:val="5"/>
              <w:widowControl w:val="0"/>
              <w:rPr>
                <w:rFonts w:hint="default" w:hAnsi="Cambria Math"/>
                <w:i w:val="0"/>
                <w:vertAlign w:val="baseline"/>
                <w:lang w:val="en-US" w:eastAsia="zh-CN"/>
              </w:rPr>
            </w:pPr>
            <w:r>
              <w:rPr>
                <w:rFonts w:hint="eastAsia"/>
                <w:b/>
                <w:bCs/>
                <w:i/>
                <w:iCs/>
                <w:lang w:val="en-US" w:eastAsia="zh-CN"/>
              </w:rPr>
              <w:t>A</w:t>
            </w:r>
            <w:r>
              <w:rPr>
                <w:rFonts w:hint="default"/>
                <w:b/>
                <w:bCs/>
                <w:i/>
                <w:iCs/>
                <w:lang w:val="en-US" w:eastAsia="zh-CN"/>
              </w:rPr>
              <w:t xml:space="preserve">ctive </w:t>
            </w:r>
            <w:r>
              <w:rPr>
                <w:rFonts w:hint="eastAsia"/>
                <w:b/>
                <w:bCs/>
                <w:i/>
                <w:iCs/>
                <w:lang w:val="en-US" w:eastAsia="zh-CN"/>
              </w:rPr>
              <w:t>LPR</w:t>
            </w:r>
            <w:r>
              <w:rPr>
                <w:rFonts w:hint="default"/>
                <w:b/>
                <w:bCs/>
                <w:i/>
                <w:iCs/>
                <w:lang w:val="en-US" w:eastAsia="zh-CN"/>
              </w:rPr>
              <w:t xml:space="preserve"> transmission</w:t>
            </w:r>
          </w:p>
        </w:tc>
        <w:tc>
          <w:tcPr>
            <w:tcW w:w="7371" w:type="dxa"/>
          </w:tcPr>
          <w:p w14:paraId="39E7C385">
            <w:pPr>
              <w:pStyle w:val="85"/>
              <w:widowControl w:val="0"/>
              <w:jc w:val="center"/>
              <w:rPr>
                <w:rFonts w:hAnsi="Cambria Math"/>
                <w:b/>
                <w:bCs/>
                <w:i w:val="0"/>
              </w:rPr>
            </w:pPr>
            <m:oMathPara>
              <m:oMathParaPr>
                <m:jc m:val="center"/>
              </m:oMathParaPr>
              <m:oMath>
                <m:sSubSup>
                  <m:sSubSupPr>
                    <m:ctrlPr>
                      <w:rPr>
                        <w:rFonts w:ascii="DejaVu Math TeX Gyre" w:hAnsi="DejaVu Math TeX Gyre"/>
                        <w:b/>
                        <w:bCs/>
                      </w:rPr>
                    </m:ctrlPr>
                  </m:sSubSupPr>
                  <m:e>
                    <m:r>
                      <m:rPr>
                        <m:sty m:val="bi"/>
                      </m:rPr>
                      <w:rPr>
                        <w:rFonts w:hint="default" w:ascii="DejaVu Math TeX Gyre" w:hAnsi="DejaVu Math TeX Gyre"/>
                      </w:rPr>
                      <m:t>P</m:t>
                    </m:r>
                    <m:ctrlPr>
                      <w:rPr>
                        <w:rFonts w:ascii="DejaVu Math TeX Gyre" w:hAnsi="DejaVu Math TeX Gyre"/>
                        <w:b/>
                        <w:bCs/>
                      </w:rPr>
                    </m:ctrlPr>
                  </m:e>
                  <m:sub>
                    <m:r>
                      <m:rPr>
                        <m:nor/>
                        <m:sty m:val="b"/>
                      </m:rPr>
                      <w:rPr>
                        <w:rFonts w:ascii="DejaVu Math TeX Gyre" w:hAnsi="DejaVu Math TeX Gyre"/>
                        <w:b/>
                        <w:bCs/>
                        <w:i w:val="0"/>
                      </w:rPr>
                      <m:t>BS</m:t>
                    </m:r>
                    <m:ctrlPr>
                      <w:rPr>
                        <w:rFonts w:ascii="DejaVu Math TeX Gyre" w:hAnsi="DejaVu Math TeX Gyre"/>
                        <w:b/>
                        <w:bCs/>
                      </w:rPr>
                    </m:ctrlPr>
                  </m:sub>
                  <m:sup>
                    <m:r>
                      <m:rPr>
                        <m:sty m:val="bi"/>
                      </m:rPr>
                      <w:rPr>
                        <w:rFonts w:hint="default" w:ascii="DejaVu Math TeX Gyre" w:hAnsi="DejaVu Math TeX Gyre"/>
                        <w:lang w:val="en-US"/>
                      </w:rPr>
                      <m:t>LPR</m:t>
                    </m:r>
                    <m:ctrlPr>
                      <w:rPr>
                        <w:rFonts w:ascii="DejaVu Math TeX Gyre" w:hAnsi="DejaVu Math TeX Gyre"/>
                        <w:b/>
                        <w:bCs/>
                      </w:rPr>
                    </m:ctrlPr>
                  </m:sup>
                </m:sSubSup>
                <m:r>
                  <m:rPr>
                    <m:sty m:val="b"/>
                  </m:rPr>
                  <w:rPr>
                    <w:rFonts w:ascii="DejaVu Math TeX Gyre" w:hAnsi="DejaVu Math TeX Gyre"/>
                  </w:rPr>
                  <m:t>=</m:t>
                </m:r>
                <m:r>
                  <m:rPr>
                    <m:sty m:val="bi"/>
                  </m:rPr>
                  <w:rPr>
                    <w:rFonts w:ascii="DejaVu Math TeX Gyre" w:hAnsi="DejaVu Math TeX Gyre"/>
                  </w:rPr>
                  <m:t> </m:t>
                </m:r>
                <m:sSub>
                  <m:sSubPr>
                    <m:ctrlPr>
                      <w:rPr>
                        <w:rFonts w:ascii="DejaVu Math TeX Gyre" w:hAnsi="DejaVu Math TeX Gyre"/>
                        <w:b/>
                        <w:bCs/>
                      </w:rPr>
                    </m:ctrlPr>
                  </m:sSubPr>
                  <m:e>
                    <m:r>
                      <m:rPr>
                        <m:sty m:val="bi"/>
                      </m:rPr>
                      <w:rPr>
                        <w:rFonts w:hint="default" w:ascii="DejaVu Math TeX Gyre" w:hAnsi="DejaVu Math TeX Gyre"/>
                      </w:rPr>
                      <m:t>P</m:t>
                    </m:r>
                    <m:ctrlPr>
                      <w:rPr>
                        <w:rFonts w:ascii="DejaVu Math TeX Gyre" w:hAnsi="DejaVu Math TeX Gyre"/>
                        <w:b/>
                        <w:bCs/>
                      </w:rPr>
                    </m:ctrlPr>
                  </m:e>
                  <m:sub>
                    <m:r>
                      <m:rPr>
                        <m:sty m:val="bi"/>
                      </m:rPr>
                      <w:rPr>
                        <w:rFonts w:hint="default" w:ascii="DejaVu Math TeX Gyre" w:hAnsi="DejaVu Math TeX Gyre"/>
                      </w:rPr>
                      <m:t>BS</m:t>
                    </m:r>
                    <m:r>
                      <m:rPr>
                        <m:sty m:val="b"/>
                      </m:rPr>
                      <w:rPr>
                        <w:rFonts w:hint="default" w:ascii="DejaVu Math TeX Gyre" w:hAnsi="DejaVu Math TeX Gyre"/>
                      </w:rPr>
                      <m:t>,deep</m:t>
                    </m:r>
                    <m:ctrlPr>
                      <w:rPr>
                        <w:rFonts w:ascii="DejaVu Math TeX Gyre" w:hAnsi="DejaVu Math TeX Gyre"/>
                        <w:b/>
                        <w:bCs/>
                      </w:rPr>
                    </m:ctrlPr>
                  </m:sub>
                </m:sSub>
                <m:r>
                  <m:rPr>
                    <m:sty m:val="bi"/>
                  </m:rPr>
                  <w:rPr>
                    <w:rFonts w:ascii="DejaVu Math TeX Gyre" w:hAnsi="DejaVu Math TeX Gyre"/>
                  </w:rPr>
                  <m:t> </m:t>
                </m:r>
                <m:r>
                  <m:rPr>
                    <m:sty m:val="b"/>
                  </m:rPr>
                  <w:rPr>
                    <w:rFonts w:ascii="DejaVu Math TeX Gyre" w:hAnsi="DejaVu Math TeX Gyre"/>
                  </w:rPr>
                  <m:t>+</m:t>
                </m:r>
                <m:sSubSup>
                  <m:sSubSupPr>
                    <m:ctrlPr>
                      <w:rPr>
                        <w:rFonts w:ascii="DejaVu Math TeX Gyre" w:hAnsi="DejaVu Math TeX Gyre"/>
                        <w:b/>
                        <w:bCs/>
                      </w:rPr>
                    </m:ctrlPr>
                  </m:sSubSupPr>
                  <m:e>
                    <m:r>
                      <m:rPr>
                        <m:sty m:val="bi"/>
                      </m:rPr>
                      <w:rPr>
                        <w:rFonts w:hint="default" w:ascii="DejaVu Math TeX Gyre" w:hAnsi="DejaVu Math TeX Gyre"/>
                      </w:rPr>
                      <m:t>P</m:t>
                    </m:r>
                    <m:ctrlPr>
                      <w:rPr>
                        <w:rFonts w:ascii="DejaVu Math TeX Gyre" w:hAnsi="DejaVu Math TeX Gyre"/>
                        <w:b/>
                        <w:bCs/>
                      </w:rPr>
                    </m:ctrlPr>
                  </m:e>
                  <m:sub>
                    <m:r>
                      <m:rPr>
                        <m:sty m:val="b"/>
                      </m:rPr>
                      <w:rPr>
                        <w:rFonts w:hint="default" w:ascii="DejaVu Math TeX Gyre" w:hAnsi="DejaVu Math TeX Gyre"/>
                        <w:lang w:val="en-US"/>
                      </w:rPr>
                      <m:t>dynamic</m:t>
                    </m:r>
                    <m:ctrlPr>
                      <w:rPr>
                        <w:rFonts w:ascii="DejaVu Math TeX Gyre" w:hAnsi="DejaVu Math TeX Gyre"/>
                        <w:b/>
                        <w:bCs/>
                      </w:rPr>
                    </m:ctrlPr>
                  </m:sub>
                  <m:sup>
                    <m:r>
                      <m:rPr>
                        <m:sty m:val="bi"/>
                      </m:rPr>
                      <w:rPr>
                        <w:rFonts w:hint="default" w:ascii="DejaVu Math TeX Gyre" w:hAnsi="DejaVu Math TeX Gyre"/>
                        <w:lang w:val="en-US"/>
                      </w:rPr>
                      <m:t>LPR</m:t>
                    </m:r>
                    <m:ctrlPr>
                      <w:rPr>
                        <w:rFonts w:ascii="DejaVu Math TeX Gyre" w:hAnsi="DejaVu Math TeX Gyre"/>
                        <w:b/>
                        <w:bCs/>
                      </w:rPr>
                    </m:ctrlPr>
                  </m:sup>
                </m:sSubSup>
                <m:r>
                  <m:rPr>
                    <m:sty m:val="bi"/>
                  </m:rPr>
                  <w:rPr>
                    <w:rFonts w:ascii="DejaVu Math TeX Gyre" w:hAnsi="DejaVu Math TeX Gyre"/>
                  </w:rPr>
                  <m:t> </m:t>
                </m:r>
              </m:oMath>
            </m:oMathPara>
          </w:p>
          <w:p w14:paraId="0D61A150">
            <w:pPr>
              <w:pStyle w:val="5"/>
              <w:widowControl w:val="0"/>
              <w:rPr>
                <w:rFonts w:hint="default" w:hAnsi="Cambria Math"/>
                <w:i w:val="0"/>
                <w:vertAlign w:val="baseline"/>
                <w:lang w:val="en-US" w:eastAsia="zh-CN"/>
              </w:rPr>
            </w:pPr>
            <w:r>
              <w:rPr>
                <w:rFonts w:hint="default" w:hAnsi="Cambria Math"/>
                <w:b/>
                <w:bCs/>
                <w:i w:val="0"/>
                <w:lang w:val="en-US"/>
              </w:rPr>
              <w:t xml:space="preserve">Also, </w:t>
            </w:r>
            <m:oMath>
              <m:sSub>
                <m:sSubPr>
                  <m:ctrlPr>
                    <w:rPr>
                      <w:rFonts w:ascii="DejaVu Math TeX Gyre" w:hAnsi="DejaVu Math TeX Gyre"/>
                      <w:b/>
                      <w:bCs/>
                    </w:rPr>
                  </m:ctrlPr>
                </m:sSubPr>
                <m:e>
                  <m:r>
                    <m:rPr>
                      <m:sty m:val="bi"/>
                    </m:rPr>
                    <w:rPr>
                      <w:rFonts w:hint="default" w:ascii="DejaVu Math TeX Gyre" w:hAnsi="DejaVu Math TeX Gyre"/>
                    </w:rPr>
                    <m:t>P</m:t>
                  </m:r>
                  <m:ctrlPr>
                    <w:rPr>
                      <w:rFonts w:ascii="DejaVu Math TeX Gyre" w:hAnsi="DejaVu Math TeX Gyre"/>
                      <w:b/>
                      <w:bCs/>
                    </w:rPr>
                  </m:ctrlPr>
                </m:e>
                <m:sub>
                  <m:r>
                    <m:rPr>
                      <m:sty m:val="bi"/>
                    </m:rPr>
                    <w:rPr>
                      <w:rFonts w:hint="default" w:ascii="DejaVu Math TeX Gyre" w:hAnsi="DejaVu Math TeX Gyre"/>
                    </w:rPr>
                    <m:t>BS,deep</m:t>
                  </m:r>
                  <m:ctrlPr>
                    <w:rPr>
                      <w:rFonts w:ascii="DejaVu Math TeX Gyre" w:hAnsi="DejaVu Math TeX Gyre"/>
                      <w:b/>
                      <w:bCs/>
                    </w:rPr>
                  </m:ctrlPr>
                </m:sub>
              </m:sSub>
              <m:r>
                <m:rPr>
                  <m:sty m:val="b"/>
                </m:rPr>
                <w:rPr>
                  <w:rFonts w:ascii="DejaVu Math TeX Gyre" w:hAnsi="DejaVu Math TeX Gyre"/>
                  <w:lang w:eastAsia="zh-CN"/>
                </w:rPr>
                <m:t>=</m:t>
              </m:r>
              <m:sSub>
                <m:sSubPr>
                  <m:ctrlPr>
                    <w:rPr>
                      <w:rFonts w:ascii="DejaVu Math TeX Gyre" w:hAnsi="DejaVu Math TeX Gyre"/>
                      <w:b/>
                      <w:bCs/>
                      <w:lang w:eastAsia="zh-CN"/>
                    </w:rPr>
                  </m:ctrlPr>
                </m:sSubPr>
                <m:e>
                  <m:r>
                    <m:rPr>
                      <m:sty m:val="bi"/>
                    </m:rPr>
                    <w:rPr>
                      <w:rFonts w:hint="default" w:ascii="DejaVu Math TeX Gyre" w:hAnsi="DejaVu Math TeX Gyre"/>
                      <w:lang w:eastAsia="zh-CN"/>
                    </w:rPr>
                    <m:t>P</m:t>
                  </m:r>
                  <m:ctrlPr>
                    <w:rPr>
                      <w:rFonts w:ascii="DejaVu Math TeX Gyre" w:hAnsi="DejaVu Math TeX Gyre"/>
                      <w:b/>
                      <w:bCs/>
                      <w:lang w:eastAsia="zh-CN"/>
                    </w:rPr>
                  </m:ctrlPr>
                </m:e>
                <m:sub>
                  <m:r>
                    <m:rPr>
                      <m:sty m:val="b"/>
                    </m:rPr>
                    <w:rPr>
                      <w:rFonts w:hint="default" w:ascii="DejaVu Math TeX Gyre" w:hAnsi="DejaVu Math TeX Gyre"/>
                      <w:lang w:eastAsia="zh-CN"/>
                    </w:rPr>
                    <m:t>3</m:t>
                  </m:r>
                  <m:ctrlPr>
                    <w:rPr>
                      <w:rFonts w:ascii="DejaVu Math TeX Gyre" w:hAnsi="DejaVu Math TeX Gyre"/>
                      <w:b/>
                      <w:bCs/>
                      <w:lang w:eastAsia="zh-CN"/>
                    </w:rPr>
                  </m:ctrlPr>
                </m:sub>
              </m:sSub>
              <m:r>
                <m:rPr>
                  <m:sty m:val="b"/>
                </m:rPr>
                <w:rPr>
                  <w:rFonts w:ascii="DejaVu Math TeX Gyre" w:hAnsi="DejaVu Math TeX Gyre"/>
                  <w:lang w:eastAsia="zh-CN"/>
                </w:rPr>
                <m:t xml:space="preserve"> </m:t>
              </m:r>
            </m:oMath>
            <w:r>
              <w:rPr>
                <w:rFonts w:hint="default" w:hAnsi="Cambria Math"/>
                <w:b/>
                <w:bCs/>
                <w:i w:val="0"/>
                <w:lang w:val="en-US" w:eastAsia="zh-CN"/>
              </w:rPr>
              <w:t xml:space="preserve"> as baseline, and FFS </w:t>
            </w:r>
            <m:oMath>
              <m:sSubSup>
                <m:sSubSupPr>
                  <m:ctrlPr>
                    <w:rPr>
                      <w:rFonts w:ascii="DejaVu Math TeX Gyre" w:hAnsi="DejaVu Math TeX Gyre"/>
                      <w:b/>
                      <w:bCs/>
                    </w:rPr>
                  </m:ctrlPr>
                </m:sSubSupPr>
                <m:e>
                  <m:r>
                    <m:rPr>
                      <m:sty m:val="bi"/>
                    </m:rPr>
                    <w:rPr>
                      <w:rFonts w:hint="default" w:ascii="DejaVu Math TeX Gyre" w:hAnsi="DejaVu Math TeX Gyre"/>
                    </w:rPr>
                    <m:t>P</m:t>
                  </m:r>
                  <m:ctrlPr>
                    <w:rPr>
                      <w:rFonts w:ascii="DejaVu Math TeX Gyre" w:hAnsi="DejaVu Math TeX Gyre"/>
                      <w:b/>
                      <w:bCs/>
                    </w:rPr>
                  </m:ctrlPr>
                </m:e>
                <m:sub>
                  <m:r>
                    <m:rPr>
                      <m:sty m:val="b"/>
                    </m:rPr>
                    <w:rPr>
                      <w:rFonts w:hint="default" w:ascii="DejaVu Math TeX Gyre" w:hAnsi="DejaVu Math TeX Gyre"/>
                      <w:lang w:val="en-US"/>
                    </w:rPr>
                    <m:t>dynamic</m:t>
                  </m:r>
                  <m:ctrlPr>
                    <w:rPr>
                      <w:rFonts w:ascii="DejaVu Math TeX Gyre" w:hAnsi="DejaVu Math TeX Gyre"/>
                      <w:b/>
                      <w:bCs/>
                    </w:rPr>
                  </m:ctrlPr>
                </m:sub>
                <m:sup>
                  <m:r>
                    <m:rPr>
                      <m:sty m:val="bi"/>
                    </m:rPr>
                    <w:rPr>
                      <w:rFonts w:hint="default" w:ascii="DejaVu Math TeX Gyre" w:hAnsi="DejaVu Math TeX Gyre"/>
                      <w:lang w:val="en-US"/>
                    </w:rPr>
                    <m:t>LPR</m:t>
                  </m:r>
                  <m:ctrlPr>
                    <w:rPr>
                      <w:rFonts w:ascii="DejaVu Math TeX Gyre" w:hAnsi="DejaVu Math TeX Gyre"/>
                      <w:b/>
                      <w:bCs/>
                    </w:rPr>
                  </m:ctrlPr>
                </m:sup>
              </m:sSubSup>
            </m:oMath>
            <w:r>
              <w:rPr>
                <w:rFonts w:hint="default" w:hAnsi="Cambria Math"/>
                <w:b/>
                <w:bCs/>
                <w:i w:val="0"/>
                <w:lang w:val="en-US"/>
              </w:rPr>
              <w:t xml:space="preserve"> if supported.</w:t>
            </w:r>
          </w:p>
        </w:tc>
      </w:tr>
    </w:tbl>
    <w:p w14:paraId="6D37ECF8">
      <w:pPr>
        <w:numPr>
          <w:ilvl w:val="0"/>
          <w:numId w:val="0"/>
        </w:numPr>
        <w:outlineLvl w:val="9"/>
        <w:rPr>
          <w:rFonts w:hint="eastAsia" w:ascii="Times New Roman Bold Italic" w:hAnsi="Times New Roman Bold Italic" w:eastAsia="等线" w:cs="Times New Roman Bold Italic"/>
          <w:b/>
          <w:bCs/>
          <w:i/>
          <w:iCs/>
          <w:highlight w:val="yellow"/>
          <w:u w:val="single"/>
          <w:lang w:val="en-US" w:eastAsia="zh-CN"/>
        </w:rPr>
      </w:pPr>
    </w:p>
    <w:p w14:paraId="36AD6AEA">
      <w:pPr>
        <w:numPr>
          <w:ilvl w:val="0"/>
          <w:numId w:val="0"/>
        </w:numPr>
        <w:outlineLvl w:val="1"/>
        <w:rPr>
          <w:rFonts w:hint="eastAsia" w:ascii="Times New Roman Bold Italic" w:hAnsi="Times New Roman Bold Italic" w:eastAsia="等线" w:cs="Times New Roman Bold Italic"/>
          <w:b/>
          <w:bCs/>
          <w:i/>
          <w:iCs/>
          <w:highlight w:val="yellow"/>
          <w:u w:val="single"/>
          <w:lang w:val="en-US" w:eastAsia="zh-CN"/>
        </w:rPr>
      </w:pPr>
      <w:r>
        <w:rPr>
          <w:rFonts w:hint="eastAsia" w:ascii="Times New Roman Bold Italic" w:hAnsi="Times New Roman Bold Italic" w:eastAsia="等线" w:cs="Times New Roman Bold Italic"/>
          <w:b/>
          <w:bCs/>
          <w:i/>
          <w:iCs/>
          <w:highlight w:val="yellow"/>
          <w:u w:val="single"/>
          <w:lang w:val="en-US" w:eastAsia="zh-CN"/>
        </w:rPr>
        <w:t>Reference configurations and power model(s) for 6G UE</w:t>
      </w:r>
    </w:p>
    <w:p w14:paraId="623D7727">
      <w:pPr>
        <w:pStyle w:val="5"/>
        <w:rPr>
          <w:rFonts w:hint="default" w:ascii="Times New Roman Bold Italic" w:hAnsi="Times New Roman Bold Italic" w:cs="Times New Roman Bold Italic"/>
          <w:b/>
          <w:bCs/>
          <w:i/>
          <w:iCs/>
          <w:sz w:val="22"/>
          <w:szCs w:val="22"/>
          <w:lang w:eastAsia="zh-CN"/>
        </w:rPr>
      </w:pPr>
      <w:r>
        <w:rPr>
          <w:rFonts w:hint="default" w:ascii="Times New Roman Bold Italic" w:hAnsi="Times New Roman Bold Italic" w:cs="Times New Roman Bold Italic"/>
          <w:b/>
          <w:bCs/>
          <w:i/>
          <w:iCs/>
          <w:sz w:val="22"/>
          <w:szCs w:val="22"/>
          <w:lang w:eastAsia="zh-CN"/>
        </w:rPr>
        <w:t xml:space="preserve">Proposal </w:t>
      </w:r>
      <w:r>
        <w:rPr>
          <w:rFonts w:hint="default" w:ascii="Times New Roman Bold Italic" w:hAnsi="Times New Roman Bold Italic" w:cs="Times New Roman Bold Italic"/>
          <w:b/>
          <w:bCs/>
          <w:i/>
          <w:iCs/>
          <w:sz w:val="22"/>
          <w:szCs w:val="22"/>
          <w:lang w:val="en-US" w:eastAsia="zh-CN"/>
        </w:rPr>
        <w:t>14</w:t>
      </w:r>
      <w:r>
        <w:rPr>
          <w:rFonts w:hint="default" w:ascii="Times New Roman Bold Italic" w:hAnsi="Times New Roman Bold Italic" w:cs="Times New Roman Bold Italic"/>
          <w:b/>
          <w:bCs/>
          <w:i/>
          <w:iCs/>
          <w:sz w:val="22"/>
          <w:szCs w:val="22"/>
          <w:lang w:eastAsia="zh-CN"/>
        </w:rPr>
        <w:t>: Considering the following power models for FR1/2/3, assuming the same reference configurations is used for FR1 and FR3.</w:t>
      </w:r>
    </w:p>
    <w:p w14:paraId="6955433B">
      <w:pPr>
        <w:pStyle w:val="13"/>
        <w:rPr>
          <w:rFonts w:hint="default" w:ascii="Times New Roman Italic" w:hAnsi="Times New Roman Italic" w:cs="Times New Roman Italic"/>
          <w:b w:val="0"/>
          <w:bCs w:val="0"/>
          <w:i/>
          <w:iCs/>
          <w:highlight w:val="none"/>
          <w:lang w:eastAsia="zh-CN"/>
        </w:rPr>
      </w:pPr>
      <w:r>
        <w:rPr>
          <w:rFonts w:hint="default" w:ascii="Times New Roman Italic" w:hAnsi="Times New Roman Italic" w:cs="Times New Roman Italic"/>
          <w:b w:val="0"/>
          <w:bCs w:val="0"/>
          <w:i/>
          <w:iCs/>
          <w:highlight w:val="none"/>
        </w:rPr>
        <w:t xml:space="preserve">Table </w:t>
      </w:r>
      <w:r>
        <w:rPr>
          <w:rFonts w:hint="default" w:ascii="Times New Roman Italic" w:hAnsi="Times New Roman Italic" w:cs="Times New Roman Italic"/>
          <w:b w:val="0"/>
          <w:bCs w:val="0"/>
          <w:i/>
          <w:iCs/>
          <w:highlight w:val="none"/>
          <w:lang w:val="en-US" w:eastAsia="zh-CN"/>
        </w:rPr>
        <w:t>7</w:t>
      </w:r>
      <w:r>
        <w:rPr>
          <w:rFonts w:hint="default" w:ascii="Times New Roman Italic" w:hAnsi="Times New Roman Italic" w:cs="Times New Roman Italic"/>
          <w:b w:val="0"/>
          <w:bCs w:val="0"/>
          <w:i/>
          <w:iCs/>
          <w:highlight w:val="none"/>
        </w:rPr>
        <w:t xml:space="preserve"> UE power consumption model for FR1/FR2/FR3</w:t>
      </w:r>
    </w:p>
    <w:tbl>
      <w:tblPr>
        <w:tblStyle w:val="27"/>
        <w:tblW w:w="9297" w:type="dxa"/>
        <w:jc w:val="center"/>
        <w:tblLayout w:type="autofit"/>
        <w:tblCellMar>
          <w:top w:w="0" w:type="dxa"/>
          <w:left w:w="0" w:type="dxa"/>
          <w:bottom w:w="0" w:type="dxa"/>
          <w:right w:w="0" w:type="dxa"/>
        </w:tblCellMar>
      </w:tblPr>
      <w:tblGrid>
        <w:gridCol w:w="1110"/>
        <w:gridCol w:w="3752"/>
        <w:gridCol w:w="1491"/>
        <w:gridCol w:w="1548"/>
        <w:gridCol w:w="1396"/>
      </w:tblGrid>
      <w:tr w14:paraId="451BB3B8">
        <w:trPr>
          <w:trHeight w:val="206" w:hRule="atLeast"/>
          <w:jc w:val="center"/>
        </w:trPr>
        <w:tc>
          <w:tcPr>
            <w:tcW w:w="1072" w:type="dxa"/>
            <w:vMerge w:val="restart"/>
            <w:tcBorders>
              <w:top w:val="single" w:color="000000" w:sz="8" w:space="0"/>
              <w:left w:val="single" w:color="000000" w:sz="8" w:space="0"/>
              <w:right w:val="single" w:color="000000" w:sz="8" w:space="0"/>
            </w:tcBorders>
            <w:shd w:val="clear" w:color="auto" w:fill="auto"/>
          </w:tcPr>
          <w:p w14:paraId="1AE02656">
            <w:pPr>
              <w:pStyle w:val="77"/>
              <w:rPr>
                <w:rFonts w:ascii="Times New Roman" w:hAnsi="Times New Roman"/>
                <w:sz w:val="20"/>
              </w:rPr>
            </w:pPr>
            <w:r>
              <w:rPr>
                <w:rFonts w:ascii="Times New Roman" w:hAnsi="Times New Roman"/>
                <w:sz w:val="20"/>
              </w:rPr>
              <w:t>Power State</w:t>
            </w:r>
          </w:p>
        </w:tc>
        <w:tc>
          <w:tcPr>
            <w:tcW w:w="3770" w:type="dxa"/>
            <w:vMerge w:val="restart"/>
            <w:tcBorders>
              <w:top w:val="single" w:color="000000" w:sz="8" w:space="0"/>
              <w:left w:val="single" w:color="000000" w:sz="8" w:space="0"/>
              <w:right w:val="single" w:color="000000" w:sz="8" w:space="0"/>
            </w:tcBorders>
            <w:shd w:val="clear" w:color="auto" w:fill="auto"/>
          </w:tcPr>
          <w:p w14:paraId="4F10B858">
            <w:pPr>
              <w:pStyle w:val="77"/>
              <w:rPr>
                <w:rFonts w:ascii="Times New Roman" w:hAnsi="Times New Roman"/>
                <w:sz w:val="20"/>
              </w:rPr>
            </w:pPr>
            <w:r>
              <w:rPr>
                <w:rFonts w:ascii="Times New Roman" w:hAnsi="Times New Roman"/>
                <w:sz w:val="20"/>
              </w:rPr>
              <w:t>Characteristics</w:t>
            </w:r>
          </w:p>
        </w:tc>
        <w:tc>
          <w:tcPr>
            <w:tcW w:w="4455" w:type="dxa"/>
            <w:gridSpan w:val="3"/>
            <w:tcBorders>
              <w:top w:val="single" w:color="000000" w:sz="8" w:space="0"/>
              <w:left w:val="single" w:color="000000" w:sz="8" w:space="0"/>
              <w:bottom w:val="single" w:color="000000" w:sz="8" w:space="0"/>
              <w:right w:val="single" w:color="000000" w:sz="8" w:space="0"/>
            </w:tcBorders>
            <w:shd w:val="clear" w:color="auto" w:fill="auto"/>
          </w:tcPr>
          <w:p w14:paraId="183305C6">
            <w:pPr>
              <w:pStyle w:val="77"/>
              <w:rPr>
                <w:rFonts w:ascii="Times New Roman" w:hAnsi="Times New Roman"/>
                <w:sz w:val="20"/>
              </w:rPr>
            </w:pPr>
            <w:r>
              <w:rPr>
                <w:rFonts w:ascii="Times New Roman" w:hAnsi="Times New Roman"/>
                <w:sz w:val="20"/>
              </w:rPr>
              <w:t>Relative Power</w:t>
            </w:r>
          </w:p>
        </w:tc>
      </w:tr>
      <w:tr w14:paraId="2CA51725">
        <w:trPr>
          <w:trHeight w:val="206" w:hRule="atLeast"/>
          <w:jc w:val="center"/>
        </w:trPr>
        <w:tc>
          <w:tcPr>
            <w:tcW w:w="1072" w:type="dxa"/>
            <w:vMerge w:val="continue"/>
            <w:tcBorders>
              <w:left w:val="single" w:color="000000" w:sz="8" w:space="0"/>
              <w:bottom w:val="single" w:color="000000" w:sz="8" w:space="0"/>
              <w:right w:val="single" w:color="000000" w:sz="8" w:space="0"/>
            </w:tcBorders>
            <w:shd w:val="clear" w:color="auto" w:fill="auto"/>
          </w:tcPr>
          <w:p w14:paraId="5C95E57C">
            <w:pPr>
              <w:pStyle w:val="77"/>
              <w:rPr>
                <w:rFonts w:ascii="Times New Roman" w:hAnsi="Times New Roman"/>
                <w:bCs/>
                <w:sz w:val="20"/>
              </w:rPr>
            </w:pPr>
          </w:p>
        </w:tc>
        <w:tc>
          <w:tcPr>
            <w:tcW w:w="3770" w:type="dxa"/>
            <w:vMerge w:val="continue"/>
            <w:tcBorders>
              <w:left w:val="single" w:color="000000" w:sz="8" w:space="0"/>
              <w:bottom w:val="single" w:color="000000" w:sz="8" w:space="0"/>
              <w:right w:val="single" w:color="000000" w:sz="8" w:space="0"/>
            </w:tcBorders>
            <w:shd w:val="clear" w:color="auto" w:fill="auto"/>
          </w:tcPr>
          <w:p w14:paraId="3DF15285">
            <w:pPr>
              <w:pStyle w:val="77"/>
              <w:rPr>
                <w:rFonts w:ascii="Times New Roman" w:hAnsi="Times New Roman"/>
                <w:bCs/>
                <w:sz w:val="20"/>
              </w:rPr>
            </w:pPr>
          </w:p>
        </w:tc>
        <w:tc>
          <w:tcPr>
            <w:tcW w:w="1498" w:type="dxa"/>
            <w:tcBorders>
              <w:top w:val="single" w:color="000000" w:sz="8" w:space="0"/>
              <w:left w:val="single" w:color="000000" w:sz="8" w:space="0"/>
              <w:bottom w:val="single" w:color="000000" w:sz="8" w:space="0"/>
              <w:right w:val="single" w:color="000000" w:sz="8" w:space="0"/>
            </w:tcBorders>
            <w:shd w:val="clear" w:color="auto" w:fill="auto"/>
          </w:tcPr>
          <w:p w14:paraId="15BB4994">
            <w:pPr>
              <w:pStyle w:val="77"/>
              <w:rPr>
                <w:rFonts w:ascii="Times New Roman" w:hAnsi="Times New Roman"/>
                <w:sz w:val="20"/>
              </w:rPr>
            </w:pPr>
            <w:r>
              <w:rPr>
                <w:rFonts w:ascii="Times New Roman" w:hAnsi="Times New Roman"/>
                <w:sz w:val="20"/>
              </w:rPr>
              <w:t>FR1</w:t>
            </w:r>
          </w:p>
        </w:tc>
        <w:tc>
          <w:tcPr>
            <w:tcW w:w="1555" w:type="dxa"/>
            <w:tcBorders>
              <w:top w:val="single" w:color="000000" w:sz="8" w:space="0"/>
              <w:left w:val="single" w:color="000000" w:sz="8" w:space="0"/>
              <w:bottom w:val="single" w:color="000000" w:sz="8" w:space="0"/>
              <w:right w:val="single" w:color="000000" w:sz="8" w:space="0"/>
            </w:tcBorders>
          </w:tcPr>
          <w:p w14:paraId="7CAFC9E7">
            <w:pPr>
              <w:pStyle w:val="77"/>
              <w:rPr>
                <w:rFonts w:ascii="Times New Roman" w:hAnsi="Times New Roman"/>
                <w:sz w:val="20"/>
              </w:rPr>
            </w:pPr>
            <w:r>
              <w:rPr>
                <w:rFonts w:ascii="Times New Roman" w:hAnsi="Times New Roman"/>
                <w:sz w:val="20"/>
              </w:rPr>
              <w:t xml:space="preserve">FR2 </w:t>
            </w:r>
          </w:p>
        </w:tc>
        <w:tc>
          <w:tcPr>
            <w:tcW w:w="1402" w:type="dxa"/>
            <w:tcBorders>
              <w:top w:val="single" w:color="000000" w:sz="8" w:space="0"/>
              <w:left w:val="single" w:color="000000" w:sz="8" w:space="0"/>
              <w:bottom w:val="single" w:color="000000" w:sz="8" w:space="0"/>
              <w:right w:val="single" w:color="000000" w:sz="8" w:space="0"/>
            </w:tcBorders>
          </w:tcPr>
          <w:p w14:paraId="2CC5C745">
            <w:pPr>
              <w:pStyle w:val="77"/>
              <w:rPr>
                <w:rFonts w:ascii="Times New Roman" w:hAnsi="Times New Roman"/>
                <w:sz w:val="20"/>
                <w:lang w:eastAsia="zh-CN"/>
              </w:rPr>
            </w:pPr>
            <w:r>
              <w:rPr>
                <w:rFonts w:ascii="Times New Roman" w:hAnsi="Times New Roman"/>
                <w:sz w:val="20"/>
                <w:lang w:eastAsia="zh-CN"/>
              </w:rPr>
              <w:t>FR3</w:t>
            </w:r>
          </w:p>
        </w:tc>
      </w:tr>
      <w:tr w14:paraId="6153D377">
        <w:trPr>
          <w:trHeight w:val="20" w:hRule="atLeast"/>
          <w:jc w:val="center"/>
        </w:trPr>
        <w:tc>
          <w:tcPr>
            <w:tcW w:w="1072" w:type="dxa"/>
            <w:tcBorders>
              <w:top w:val="single" w:color="000000" w:sz="8" w:space="0"/>
              <w:left w:val="single" w:color="000000" w:sz="8" w:space="0"/>
              <w:bottom w:val="single" w:color="000000" w:sz="8" w:space="0"/>
              <w:right w:val="single" w:color="000000" w:sz="8" w:space="0"/>
            </w:tcBorders>
            <w:shd w:val="clear" w:color="auto" w:fill="auto"/>
          </w:tcPr>
          <w:p w14:paraId="49956DDB">
            <w:pPr>
              <w:pStyle w:val="5"/>
              <w:rPr>
                <w:lang w:eastAsia="zh-CN"/>
              </w:rPr>
            </w:pPr>
            <w:r>
              <w:rPr>
                <w:lang w:eastAsia="zh-CN"/>
              </w:rPr>
              <w:t>PDCCH-only</w:t>
            </w:r>
          </w:p>
        </w:tc>
        <w:tc>
          <w:tcPr>
            <w:tcW w:w="3770" w:type="dxa"/>
            <w:tcBorders>
              <w:top w:val="single" w:color="000000" w:sz="8" w:space="0"/>
              <w:left w:val="single" w:color="000000" w:sz="8" w:space="0"/>
              <w:bottom w:val="single" w:color="000000" w:sz="8" w:space="0"/>
              <w:right w:val="single" w:color="000000" w:sz="8" w:space="0"/>
            </w:tcBorders>
            <w:shd w:val="clear" w:color="auto" w:fill="auto"/>
          </w:tcPr>
          <w:p w14:paraId="69E73C6F">
            <w:pPr>
              <w:pStyle w:val="5"/>
              <w:rPr>
                <w:lang w:eastAsia="zh-CN"/>
              </w:rPr>
            </w:pPr>
            <w:r>
              <w:rPr>
                <w:lang w:eastAsia="zh-CN"/>
              </w:rPr>
              <w:t>No PDSCH and same-slot scheduling; this includes time for PDCCH decoding and any micro-sleep within the slot.</w:t>
            </w:r>
          </w:p>
        </w:tc>
        <w:tc>
          <w:tcPr>
            <w:tcW w:w="1498" w:type="dxa"/>
            <w:tcBorders>
              <w:top w:val="single" w:color="000000" w:sz="8" w:space="0"/>
              <w:left w:val="single" w:color="000000" w:sz="8" w:space="0"/>
              <w:bottom w:val="single" w:color="000000" w:sz="8" w:space="0"/>
              <w:right w:val="single" w:color="000000" w:sz="8" w:space="0"/>
            </w:tcBorders>
            <w:shd w:val="clear" w:color="auto" w:fill="auto"/>
          </w:tcPr>
          <w:p w14:paraId="03AD5EEC">
            <w:pPr>
              <w:pStyle w:val="76"/>
              <w:ind w:left="156"/>
              <w:rPr>
                <w:rFonts w:ascii="Times New Roman" w:hAnsi="Times New Roman"/>
                <w:sz w:val="20"/>
              </w:rPr>
            </w:pPr>
            <w:r>
              <w:rPr>
                <w:rFonts w:ascii="Times New Roman" w:hAnsi="Times New Roman"/>
                <w:sz w:val="20"/>
              </w:rPr>
              <w:t>100</w:t>
            </w:r>
          </w:p>
        </w:tc>
        <w:tc>
          <w:tcPr>
            <w:tcW w:w="1555" w:type="dxa"/>
            <w:tcBorders>
              <w:top w:val="single" w:color="000000" w:sz="8" w:space="0"/>
              <w:left w:val="single" w:color="000000" w:sz="8" w:space="0"/>
              <w:bottom w:val="single" w:color="000000" w:sz="8" w:space="0"/>
              <w:right w:val="single" w:color="000000" w:sz="8" w:space="0"/>
            </w:tcBorders>
          </w:tcPr>
          <w:p w14:paraId="7094A2CC">
            <w:pPr>
              <w:pStyle w:val="76"/>
              <w:ind w:left="156"/>
              <w:rPr>
                <w:rFonts w:ascii="Times New Roman" w:hAnsi="Times New Roman"/>
                <w:sz w:val="20"/>
              </w:rPr>
            </w:pPr>
            <w:r>
              <w:rPr>
                <w:rFonts w:ascii="Times New Roman" w:hAnsi="Times New Roman"/>
                <w:sz w:val="20"/>
              </w:rPr>
              <w:t>175</w:t>
            </w:r>
          </w:p>
        </w:tc>
        <w:tc>
          <w:tcPr>
            <w:tcW w:w="1402" w:type="dxa"/>
            <w:tcBorders>
              <w:top w:val="single" w:color="000000" w:sz="8" w:space="0"/>
              <w:left w:val="single" w:color="000000" w:sz="8" w:space="0"/>
              <w:bottom w:val="single" w:color="000000" w:sz="8" w:space="0"/>
              <w:right w:val="single" w:color="000000" w:sz="8" w:space="0"/>
            </w:tcBorders>
          </w:tcPr>
          <w:p w14:paraId="7CBE6856">
            <w:pPr>
              <w:pStyle w:val="76"/>
              <w:ind w:left="156"/>
              <w:rPr>
                <w:rFonts w:ascii="Times New Roman" w:hAnsi="Times New Roman"/>
                <w:color w:val="FF0000"/>
                <w:sz w:val="20"/>
              </w:rPr>
            </w:pPr>
            <w:r>
              <w:rPr>
                <w:rFonts w:ascii="Times New Roman" w:hAnsi="Times New Roman"/>
                <w:color w:val="FF0000"/>
                <w:sz w:val="20"/>
              </w:rPr>
              <w:t>[100]</w:t>
            </w:r>
          </w:p>
        </w:tc>
      </w:tr>
      <w:tr w14:paraId="6E4CC303">
        <w:trPr>
          <w:trHeight w:val="20" w:hRule="atLeast"/>
          <w:jc w:val="center"/>
        </w:trPr>
        <w:tc>
          <w:tcPr>
            <w:tcW w:w="1072" w:type="dxa"/>
            <w:tcBorders>
              <w:top w:val="single" w:color="000000" w:sz="8" w:space="0"/>
              <w:left w:val="single" w:color="000000" w:sz="8" w:space="0"/>
              <w:bottom w:val="single" w:color="000000" w:sz="8" w:space="0"/>
              <w:right w:val="single" w:color="000000" w:sz="8" w:space="0"/>
            </w:tcBorders>
            <w:shd w:val="clear" w:color="auto" w:fill="auto"/>
          </w:tcPr>
          <w:p w14:paraId="023818D1">
            <w:pPr>
              <w:pStyle w:val="5"/>
              <w:rPr>
                <w:lang w:eastAsia="zh-CN"/>
              </w:rPr>
            </w:pPr>
            <w:r>
              <w:rPr>
                <w:lang w:eastAsia="zh-CN"/>
              </w:rPr>
              <w:t xml:space="preserve">SSB or </w:t>
            </w:r>
            <w:r>
              <w:rPr>
                <w:lang w:eastAsia="zh-CN"/>
              </w:rPr>
              <w:br w:type="textWrapping"/>
            </w:r>
            <w:r>
              <w:rPr>
                <w:lang w:eastAsia="zh-CN"/>
              </w:rPr>
              <w:t>CSI-RS proc.</w:t>
            </w:r>
          </w:p>
        </w:tc>
        <w:tc>
          <w:tcPr>
            <w:tcW w:w="3770" w:type="dxa"/>
            <w:tcBorders>
              <w:top w:val="single" w:color="000000" w:sz="8" w:space="0"/>
              <w:left w:val="single" w:color="000000" w:sz="8" w:space="0"/>
              <w:bottom w:val="single" w:color="000000" w:sz="8" w:space="0"/>
              <w:right w:val="single" w:color="000000" w:sz="8" w:space="0"/>
            </w:tcBorders>
            <w:shd w:val="clear" w:color="auto" w:fill="auto"/>
          </w:tcPr>
          <w:p w14:paraId="5E5036CD">
            <w:pPr>
              <w:pStyle w:val="5"/>
              <w:rPr>
                <w:lang w:eastAsia="zh-CN"/>
              </w:rPr>
            </w:pPr>
            <w:r>
              <w:rPr>
                <w:lang w:eastAsia="zh-CN"/>
              </w:rPr>
              <w:t>SSB can be used for fine time-frequency sync. and RSRP measurement of the serving/camping cell.. TRS is the considered CSI-RS for sync. FFS the power scaling for processing other configurations of CSI-RS.</w:t>
            </w:r>
          </w:p>
          <w:p w14:paraId="5DA2453D">
            <w:pPr>
              <w:pStyle w:val="5"/>
              <w:rPr>
                <w:lang w:eastAsia="zh-CN"/>
              </w:rPr>
            </w:pPr>
            <w:r>
              <w:rPr>
                <w:lang w:eastAsia="zh-CN"/>
              </w:rPr>
              <w:t>(Note 2 SSBs in a slot for the ref. config.)</w:t>
            </w:r>
          </w:p>
        </w:tc>
        <w:tc>
          <w:tcPr>
            <w:tcW w:w="1498" w:type="dxa"/>
            <w:tcBorders>
              <w:top w:val="single" w:color="000000" w:sz="8" w:space="0"/>
              <w:left w:val="single" w:color="000000" w:sz="8" w:space="0"/>
              <w:bottom w:val="single" w:color="000000" w:sz="8" w:space="0"/>
              <w:right w:val="single" w:color="000000" w:sz="8" w:space="0"/>
            </w:tcBorders>
            <w:shd w:val="clear" w:color="auto" w:fill="auto"/>
          </w:tcPr>
          <w:p w14:paraId="131C42E2">
            <w:pPr>
              <w:pStyle w:val="76"/>
              <w:ind w:left="156"/>
              <w:rPr>
                <w:rFonts w:ascii="Times New Roman" w:hAnsi="Times New Roman"/>
                <w:sz w:val="20"/>
              </w:rPr>
            </w:pPr>
            <w:r>
              <w:rPr>
                <w:rFonts w:ascii="Times New Roman" w:hAnsi="Times New Roman"/>
                <w:sz w:val="20"/>
              </w:rPr>
              <w:t>100</w:t>
            </w:r>
          </w:p>
        </w:tc>
        <w:tc>
          <w:tcPr>
            <w:tcW w:w="1555" w:type="dxa"/>
            <w:tcBorders>
              <w:top w:val="single" w:color="000000" w:sz="8" w:space="0"/>
              <w:left w:val="single" w:color="000000" w:sz="8" w:space="0"/>
              <w:bottom w:val="single" w:color="000000" w:sz="8" w:space="0"/>
              <w:right w:val="single" w:color="000000" w:sz="8" w:space="0"/>
            </w:tcBorders>
          </w:tcPr>
          <w:p w14:paraId="284BD507">
            <w:pPr>
              <w:pStyle w:val="76"/>
              <w:ind w:left="156"/>
              <w:rPr>
                <w:rFonts w:ascii="Times New Roman" w:hAnsi="Times New Roman"/>
                <w:sz w:val="20"/>
              </w:rPr>
            </w:pPr>
            <w:r>
              <w:rPr>
                <w:rFonts w:ascii="Times New Roman" w:hAnsi="Times New Roman"/>
                <w:sz w:val="20"/>
              </w:rPr>
              <w:t>175</w:t>
            </w:r>
          </w:p>
        </w:tc>
        <w:tc>
          <w:tcPr>
            <w:tcW w:w="1402" w:type="dxa"/>
            <w:tcBorders>
              <w:top w:val="single" w:color="000000" w:sz="8" w:space="0"/>
              <w:left w:val="single" w:color="000000" w:sz="8" w:space="0"/>
              <w:bottom w:val="single" w:color="000000" w:sz="8" w:space="0"/>
              <w:right w:val="single" w:color="000000" w:sz="8" w:space="0"/>
            </w:tcBorders>
          </w:tcPr>
          <w:p w14:paraId="5C055F8E">
            <w:pPr>
              <w:pStyle w:val="76"/>
              <w:ind w:left="156"/>
              <w:rPr>
                <w:rFonts w:ascii="Times New Roman" w:hAnsi="Times New Roman"/>
                <w:color w:val="FF0000"/>
                <w:sz w:val="20"/>
              </w:rPr>
            </w:pPr>
            <w:r>
              <w:rPr>
                <w:rFonts w:ascii="Times New Roman" w:hAnsi="Times New Roman"/>
                <w:color w:val="FF0000"/>
                <w:sz w:val="20"/>
              </w:rPr>
              <w:t>[100]</w:t>
            </w:r>
          </w:p>
        </w:tc>
      </w:tr>
      <w:tr w14:paraId="5553933F">
        <w:trPr>
          <w:trHeight w:val="20" w:hRule="atLeast"/>
          <w:jc w:val="center"/>
        </w:trPr>
        <w:tc>
          <w:tcPr>
            <w:tcW w:w="1072" w:type="dxa"/>
            <w:tcBorders>
              <w:top w:val="single" w:color="000000" w:sz="8" w:space="0"/>
              <w:left w:val="single" w:color="000000" w:sz="8" w:space="0"/>
              <w:bottom w:val="single" w:color="000000" w:sz="8" w:space="0"/>
              <w:right w:val="single" w:color="000000" w:sz="8" w:space="0"/>
            </w:tcBorders>
            <w:shd w:val="clear" w:color="auto" w:fill="auto"/>
          </w:tcPr>
          <w:p w14:paraId="59CD0E76">
            <w:pPr>
              <w:pStyle w:val="5"/>
              <w:rPr>
                <w:lang w:eastAsia="zh-CN"/>
              </w:rPr>
            </w:pPr>
            <w:r>
              <w:rPr>
                <w:lang w:eastAsia="zh-CN"/>
              </w:rPr>
              <w:t>PDCCH + PDSCH</w:t>
            </w:r>
          </w:p>
        </w:tc>
        <w:tc>
          <w:tcPr>
            <w:tcW w:w="3770" w:type="dxa"/>
            <w:tcBorders>
              <w:top w:val="single" w:color="000000" w:sz="8" w:space="0"/>
              <w:left w:val="single" w:color="000000" w:sz="8" w:space="0"/>
              <w:bottom w:val="single" w:color="000000" w:sz="8" w:space="0"/>
              <w:right w:val="single" w:color="000000" w:sz="8" w:space="0"/>
            </w:tcBorders>
            <w:shd w:val="clear" w:color="auto" w:fill="auto"/>
          </w:tcPr>
          <w:p w14:paraId="1B4C5AAD">
            <w:pPr>
              <w:pStyle w:val="5"/>
              <w:rPr>
                <w:lang w:eastAsia="zh-CN"/>
              </w:rPr>
            </w:pPr>
            <w:r>
              <w:rPr>
                <w:lang w:eastAsia="zh-CN"/>
              </w:rPr>
              <w:t xml:space="preserve">PDCCH + PDSCH. ACK/NACK in long PUCCH is modelled by UL power state. </w:t>
            </w:r>
          </w:p>
        </w:tc>
        <w:tc>
          <w:tcPr>
            <w:tcW w:w="1498" w:type="dxa"/>
            <w:tcBorders>
              <w:top w:val="single" w:color="000000" w:sz="8" w:space="0"/>
              <w:left w:val="single" w:color="000000" w:sz="8" w:space="0"/>
              <w:bottom w:val="single" w:color="000000" w:sz="8" w:space="0"/>
              <w:right w:val="single" w:color="000000" w:sz="8" w:space="0"/>
            </w:tcBorders>
            <w:shd w:val="clear" w:color="auto" w:fill="auto"/>
          </w:tcPr>
          <w:p w14:paraId="0F65BBB3">
            <w:pPr>
              <w:pStyle w:val="76"/>
              <w:ind w:left="156"/>
              <w:rPr>
                <w:rFonts w:ascii="Times New Roman" w:hAnsi="Times New Roman"/>
                <w:sz w:val="20"/>
              </w:rPr>
            </w:pPr>
            <w:r>
              <w:rPr>
                <w:rFonts w:ascii="Times New Roman" w:hAnsi="Times New Roman"/>
                <w:sz w:val="20"/>
              </w:rPr>
              <w:t>300</w:t>
            </w:r>
          </w:p>
        </w:tc>
        <w:tc>
          <w:tcPr>
            <w:tcW w:w="1555" w:type="dxa"/>
            <w:tcBorders>
              <w:top w:val="single" w:color="000000" w:sz="8" w:space="0"/>
              <w:left w:val="single" w:color="000000" w:sz="8" w:space="0"/>
              <w:bottom w:val="single" w:color="000000" w:sz="8" w:space="0"/>
              <w:right w:val="single" w:color="000000" w:sz="8" w:space="0"/>
            </w:tcBorders>
          </w:tcPr>
          <w:p w14:paraId="0BAC1F04">
            <w:pPr>
              <w:pStyle w:val="76"/>
              <w:ind w:left="156"/>
              <w:rPr>
                <w:rFonts w:ascii="Times New Roman" w:hAnsi="Times New Roman"/>
                <w:sz w:val="20"/>
              </w:rPr>
            </w:pPr>
            <w:r>
              <w:rPr>
                <w:rFonts w:ascii="Times New Roman" w:hAnsi="Times New Roman"/>
                <w:sz w:val="20"/>
              </w:rPr>
              <w:t>350</w:t>
            </w:r>
          </w:p>
        </w:tc>
        <w:tc>
          <w:tcPr>
            <w:tcW w:w="1402" w:type="dxa"/>
            <w:tcBorders>
              <w:top w:val="single" w:color="000000" w:sz="8" w:space="0"/>
              <w:left w:val="single" w:color="000000" w:sz="8" w:space="0"/>
              <w:bottom w:val="single" w:color="000000" w:sz="8" w:space="0"/>
              <w:right w:val="single" w:color="000000" w:sz="8" w:space="0"/>
            </w:tcBorders>
          </w:tcPr>
          <w:p w14:paraId="6C091C4C">
            <w:pPr>
              <w:pStyle w:val="76"/>
              <w:ind w:left="156"/>
              <w:rPr>
                <w:rFonts w:ascii="Times New Roman" w:hAnsi="Times New Roman"/>
                <w:color w:val="FF0000"/>
                <w:sz w:val="20"/>
              </w:rPr>
            </w:pPr>
            <w:r>
              <w:rPr>
                <w:rFonts w:ascii="Times New Roman" w:hAnsi="Times New Roman"/>
                <w:color w:val="FF0000"/>
                <w:sz w:val="20"/>
              </w:rPr>
              <w:t>[300]</w:t>
            </w:r>
          </w:p>
        </w:tc>
      </w:tr>
      <w:tr w14:paraId="1BA1C046">
        <w:trPr>
          <w:trHeight w:val="20" w:hRule="atLeast"/>
          <w:jc w:val="center"/>
        </w:trPr>
        <w:tc>
          <w:tcPr>
            <w:tcW w:w="1072" w:type="dxa"/>
            <w:tcBorders>
              <w:top w:val="single" w:color="000000" w:sz="8" w:space="0"/>
              <w:left w:val="single" w:color="000000" w:sz="8" w:space="0"/>
              <w:bottom w:val="single" w:color="000000" w:sz="8" w:space="0"/>
              <w:right w:val="single" w:color="000000" w:sz="8" w:space="0"/>
            </w:tcBorders>
            <w:shd w:val="clear" w:color="auto" w:fill="auto"/>
          </w:tcPr>
          <w:p w14:paraId="455DCCFE">
            <w:pPr>
              <w:pStyle w:val="5"/>
              <w:rPr>
                <w:lang w:eastAsia="zh-CN"/>
              </w:rPr>
            </w:pPr>
            <w:r>
              <w:rPr>
                <w:lang w:eastAsia="zh-CN"/>
              </w:rPr>
              <w:t>PDSCH-only slot</w:t>
            </w:r>
          </w:p>
        </w:tc>
        <w:tc>
          <w:tcPr>
            <w:tcW w:w="3770" w:type="dxa"/>
            <w:tcBorders>
              <w:top w:val="single" w:color="000000" w:sz="8" w:space="0"/>
              <w:left w:val="single" w:color="000000" w:sz="8" w:space="0"/>
              <w:bottom w:val="single" w:color="000000" w:sz="8" w:space="0"/>
              <w:right w:val="single" w:color="000000" w:sz="8" w:space="0"/>
            </w:tcBorders>
            <w:shd w:val="clear" w:color="auto" w:fill="auto"/>
          </w:tcPr>
          <w:p w14:paraId="01CF47A6">
            <w:pPr>
              <w:pStyle w:val="5"/>
              <w:rPr>
                <w:lang w:eastAsia="zh-CN"/>
              </w:rPr>
            </w:pPr>
            <w:r>
              <w:rPr>
                <w:lang w:eastAsia="zh-CN"/>
              </w:rPr>
              <w:t>This assumes the same number of PDSCH symbols as in the PDCCH+PDSCH case.</w:t>
            </w:r>
          </w:p>
        </w:tc>
        <w:tc>
          <w:tcPr>
            <w:tcW w:w="1498" w:type="dxa"/>
            <w:tcBorders>
              <w:top w:val="single" w:color="000000" w:sz="8" w:space="0"/>
              <w:left w:val="single" w:color="000000" w:sz="8" w:space="0"/>
              <w:bottom w:val="single" w:color="000000" w:sz="8" w:space="0"/>
              <w:right w:val="single" w:color="000000" w:sz="8" w:space="0"/>
            </w:tcBorders>
            <w:shd w:val="clear" w:color="auto" w:fill="auto"/>
          </w:tcPr>
          <w:p w14:paraId="25FA5CE0">
            <w:pPr>
              <w:pStyle w:val="76"/>
              <w:ind w:left="156"/>
              <w:rPr>
                <w:rFonts w:ascii="Times New Roman" w:hAnsi="Times New Roman"/>
                <w:sz w:val="20"/>
                <w:lang w:eastAsia="zh-CN"/>
              </w:rPr>
            </w:pPr>
            <w:r>
              <w:rPr>
                <w:rFonts w:ascii="Times New Roman" w:hAnsi="Times New Roman"/>
                <w:sz w:val="20"/>
                <w:lang w:eastAsia="zh-CN"/>
              </w:rPr>
              <w:t>280</w:t>
            </w:r>
          </w:p>
        </w:tc>
        <w:tc>
          <w:tcPr>
            <w:tcW w:w="1555" w:type="dxa"/>
            <w:tcBorders>
              <w:top w:val="single" w:color="000000" w:sz="8" w:space="0"/>
              <w:left w:val="single" w:color="000000" w:sz="8" w:space="0"/>
              <w:bottom w:val="single" w:color="000000" w:sz="8" w:space="0"/>
              <w:right w:val="single" w:color="000000" w:sz="8" w:space="0"/>
            </w:tcBorders>
          </w:tcPr>
          <w:p w14:paraId="49D64426">
            <w:pPr>
              <w:pStyle w:val="76"/>
              <w:ind w:left="156"/>
              <w:rPr>
                <w:rFonts w:ascii="Times New Roman" w:hAnsi="Times New Roman"/>
                <w:sz w:val="20"/>
                <w:lang w:eastAsia="zh-CN"/>
              </w:rPr>
            </w:pPr>
            <w:r>
              <w:rPr>
                <w:rFonts w:ascii="Times New Roman" w:hAnsi="Times New Roman"/>
                <w:sz w:val="20"/>
                <w:lang w:eastAsia="zh-CN"/>
              </w:rPr>
              <w:t>325</w:t>
            </w:r>
          </w:p>
        </w:tc>
        <w:tc>
          <w:tcPr>
            <w:tcW w:w="1402" w:type="dxa"/>
            <w:tcBorders>
              <w:top w:val="single" w:color="000000" w:sz="8" w:space="0"/>
              <w:left w:val="single" w:color="000000" w:sz="8" w:space="0"/>
              <w:bottom w:val="single" w:color="000000" w:sz="8" w:space="0"/>
              <w:right w:val="single" w:color="000000" w:sz="8" w:space="0"/>
            </w:tcBorders>
          </w:tcPr>
          <w:p w14:paraId="4F4A3BE3">
            <w:pPr>
              <w:pStyle w:val="76"/>
              <w:ind w:left="156"/>
              <w:rPr>
                <w:rFonts w:ascii="Times New Roman" w:hAnsi="Times New Roman"/>
                <w:color w:val="FF0000"/>
                <w:sz w:val="20"/>
                <w:lang w:eastAsia="zh-CN"/>
              </w:rPr>
            </w:pPr>
            <w:r>
              <w:rPr>
                <w:rFonts w:ascii="Times New Roman" w:hAnsi="Times New Roman"/>
                <w:color w:val="FF0000"/>
                <w:sz w:val="20"/>
                <w:lang w:eastAsia="zh-CN"/>
              </w:rPr>
              <w:t>[280]</w:t>
            </w:r>
          </w:p>
        </w:tc>
      </w:tr>
      <w:tr w14:paraId="21238CC1">
        <w:trPr>
          <w:trHeight w:val="20" w:hRule="atLeast"/>
          <w:jc w:val="center"/>
        </w:trPr>
        <w:tc>
          <w:tcPr>
            <w:tcW w:w="1072" w:type="dxa"/>
            <w:tcBorders>
              <w:top w:val="single" w:color="000000" w:sz="8" w:space="0"/>
              <w:left w:val="single" w:color="000000" w:sz="8" w:space="0"/>
              <w:bottom w:val="single" w:color="000000" w:sz="8" w:space="0"/>
              <w:right w:val="single" w:color="000000" w:sz="8" w:space="0"/>
            </w:tcBorders>
            <w:shd w:val="clear" w:color="auto" w:fill="auto"/>
          </w:tcPr>
          <w:p w14:paraId="045BA4EA">
            <w:pPr>
              <w:pStyle w:val="5"/>
              <w:rPr>
                <w:lang w:eastAsia="zh-CN"/>
              </w:rPr>
            </w:pPr>
            <w:r>
              <w:rPr>
                <w:lang w:eastAsia="zh-CN"/>
              </w:rPr>
              <w:t>UL</w:t>
            </w:r>
          </w:p>
        </w:tc>
        <w:tc>
          <w:tcPr>
            <w:tcW w:w="3770" w:type="dxa"/>
            <w:tcBorders>
              <w:top w:val="single" w:color="000000" w:sz="8" w:space="0"/>
              <w:left w:val="single" w:color="000000" w:sz="8" w:space="0"/>
              <w:bottom w:val="single" w:color="000000" w:sz="8" w:space="0"/>
              <w:right w:val="single" w:color="000000" w:sz="8" w:space="0"/>
            </w:tcBorders>
            <w:shd w:val="clear" w:color="auto" w:fill="auto"/>
          </w:tcPr>
          <w:p w14:paraId="656544BE">
            <w:pPr>
              <w:pStyle w:val="5"/>
              <w:rPr>
                <w:lang w:eastAsia="zh-CN"/>
              </w:rPr>
            </w:pPr>
            <w:r>
              <w:rPr>
                <w:lang w:eastAsia="zh-CN"/>
              </w:rPr>
              <w:t xml:space="preserve">Long PUCCH or PUSCH. </w:t>
            </w:r>
          </w:p>
        </w:tc>
        <w:tc>
          <w:tcPr>
            <w:tcW w:w="1498" w:type="dxa"/>
            <w:tcBorders>
              <w:top w:val="single" w:color="000000" w:sz="8" w:space="0"/>
              <w:left w:val="single" w:color="000000" w:sz="8" w:space="0"/>
              <w:bottom w:val="single" w:color="000000" w:sz="8" w:space="0"/>
              <w:right w:val="single" w:color="000000" w:sz="8" w:space="0"/>
            </w:tcBorders>
            <w:shd w:val="clear" w:color="auto" w:fill="auto"/>
          </w:tcPr>
          <w:p w14:paraId="624FBE1E">
            <w:pPr>
              <w:pStyle w:val="76"/>
              <w:ind w:left="156"/>
              <w:rPr>
                <w:rFonts w:ascii="Times New Roman" w:hAnsi="Times New Roman"/>
                <w:sz w:val="20"/>
              </w:rPr>
            </w:pPr>
            <w:r>
              <w:rPr>
                <w:rFonts w:ascii="Times New Roman" w:hAnsi="Times New Roman"/>
                <w:sz w:val="20"/>
              </w:rPr>
              <w:t>250 (0 dBm)</w:t>
            </w:r>
          </w:p>
          <w:p w14:paraId="2F8E6ECB">
            <w:pPr>
              <w:pStyle w:val="76"/>
              <w:ind w:left="156"/>
              <w:rPr>
                <w:rFonts w:ascii="Times New Roman" w:hAnsi="Times New Roman"/>
                <w:sz w:val="20"/>
              </w:rPr>
            </w:pPr>
            <w:r>
              <w:rPr>
                <w:rFonts w:ascii="Times New Roman" w:hAnsi="Times New Roman"/>
                <w:sz w:val="20"/>
              </w:rPr>
              <w:t>700 (23 dBm)</w:t>
            </w:r>
          </w:p>
        </w:tc>
        <w:tc>
          <w:tcPr>
            <w:tcW w:w="1555" w:type="dxa"/>
            <w:tcBorders>
              <w:top w:val="single" w:color="000000" w:sz="8" w:space="0"/>
              <w:left w:val="single" w:color="000000" w:sz="8" w:space="0"/>
              <w:bottom w:val="single" w:color="000000" w:sz="8" w:space="0"/>
              <w:right w:val="single" w:color="000000" w:sz="8" w:space="0"/>
            </w:tcBorders>
          </w:tcPr>
          <w:p w14:paraId="0175C65C">
            <w:pPr>
              <w:pStyle w:val="76"/>
              <w:ind w:left="156"/>
              <w:rPr>
                <w:rFonts w:ascii="Times New Roman" w:hAnsi="Times New Roman"/>
                <w:sz w:val="20"/>
              </w:rPr>
            </w:pPr>
            <w:r>
              <w:rPr>
                <w:rFonts w:ascii="Times New Roman" w:hAnsi="Times New Roman"/>
                <w:sz w:val="20"/>
              </w:rPr>
              <w:t>350</w:t>
            </w:r>
          </w:p>
          <w:p w14:paraId="402368BE">
            <w:pPr>
              <w:pStyle w:val="76"/>
              <w:ind w:left="156"/>
              <w:rPr>
                <w:rFonts w:ascii="Times New Roman" w:hAnsi="Times New Roman"/>
                <w:sz w:val="20"/>
              </w:rPr>
            </w:pPr>
            <w:r>
              <w:rPr>
                <w:rFonts w:ascii="Times New Roman" w:hAnsi="Times New Roman"/>
                <w:sz w:val="20"/>
              </w:rPr>
              <w:t>(FFS Tx power level)</w:t>
            </w:r>
          </w:p>
          <w:p w14:paraId="6E188182">
            <w:pPr>
              <w:pStyle w:val="76"/>
              <w:ind w:left="156"/>
              <w:rPr>
                <w:rFonts w:ascii="Times New Roman" w:hAnsi="Times New Roman"/>
                <w:sz w:val="20"/>
              </w:rPr>
            </w:pPr>
          </w:p>
        </w:tc>
        <w:tc>
          <w:tcPr>
            <w:tcW w:w="1402" w:type="dxa"/>
            <w:tcBorders>
              <w:top w:val="single" w:color="000000" w:sz="8" w:space="0"/>
              <w:left w:val="single" w:color="000000" w:sz="8" w:space="0"/>
              <w:bottom w:val="single" w:color="000000" w:sz="8" w:space="0"/>
              <w:right w:val="single" w:color="000000" w:sz="8" w:space="0"/>
            </w:tcBorders>
          </w:tcPr>
          <w:p w14:paraId="5EB73569">
            <w:pPr>
              <w:pStyle w:val="76"/>
              <w:ind w:left="156"/>
              <w:rPr>
                <w:rFonts w:ascii="Times New Roman" w:hAnsi="Times New Roman"/>
                <w:color w:val="FF0000"/>
                <w:sz w:val="20"/>
              </w:rPr>
            </w:pPr>
            <w:r>
              <w:rPr>
                <w:rFonts w:ascii="Times New Roman" w:hAnsi="Times New Roman"/>
                <w:color w:val="FF0000"/>
                <w:sz w:val="20"/>
              </w:rPr>
              <w:t>[250] (0 dBm)</w:t>
            </w:r>
          </w:p>
          <w:p w14:paraId="30C676CB">
            <w:pPr>
              <w:pStyle w:val="76"/>
              <w:ind w:left="156"/>
              <w:rPr>
                <w:rFonts w:ascii="Times New Roman" w:hAnsi="Times New Roman"/>
                <w:color w:val="FF0000"/>
                <w:sz w:val="20"/>
              </w:rPr>
            </w:pPr>
            <w:r>
              <w:rPr>
                <w:rFonts w:ascii="Times New Roman" w:hAnsi="Times New Roman"/>
                <w:color w:val="FF0000"/>
                <w:sz w:val="20"/>
              </w:rPr>
              <w:t>[700] (23 dBm)</w:t>
            </w:r>
          </w:p>
        </w:tc>
      </w:tr>
      <w:tr w14:paraId="0B86C2A9">
        <w:trPr>
          <w:trHeight w:val="20" w:hRule="atLeast"/>
          <w:jc w:val="center"/>
        </w:trPr>
        <w:tc>
          <w:tcPr>
            <w:tcW w:w="9297" w:type="dxa"/>
            <w:gridSpan w:val="5"/>
            <w:tcBorders>
              <w:top w:val="single" w:color="000000" w:sz="8" w:space="0"/>
              <w:left w:val="single" w:color="000000" w:sz="8" w:space="0"/>
              <w:bottom w:val="single" w:color="000000" w:sz="8" w:space="0"/>
              <w:right w:val="single" w:color="000000" w:sz="8" w:space="0"/>
            </w:tcBorders>
            <w:shd w:val="clear" w:color="auto" w:fill="auto"/>
          </w:tcPr>
          <w:p w14:paraId="19C69594">
            <w:pPr>
              <w:pStyle w:val="76"/>
              <w:ind w:left="156"/>
              <w:rPr>
                <w:rFonts w:ascii="Times New Roman" w:hAnsi="Times New Roman"/>
                <w:color w:val="FF0000"/>
                <w:sz w:val="20"/>
                <w:lang w:eastAsia="zh-CN"/>
              </w:rPr>
            </w:pPr>
            <w:r>
              <w:rPr>
                <w:rFonts w:ascii="Times New Roman" w:hAnsi="Times New Roman"/>
                <w:color w:val="FF0000"/>
                <w:sz w:val="20"/>
                <w:lang w:eastAsia="zh-CN"/>
              </w:rPr>
              <w:t>Note: For the UL transmission power other than 0 dBm and 23 dBm, the relative power is determined by linear interpolation or a range of the transmission power.</w:t>
            </w:r>
          </w:p>
        </w:tc>
      </w:tr>
    </w:tbl>
    <w:p w14:paraId="1A4B140B">
      <w:pPr>
        <w:numPr>
          <w:ilvl w:val="0"/>
          <w:numId w:val="0"/>
        </w:numPr>
        <w:outlineLvl w:val="9"/>
        <w:rPr>
          <w:rFonts w:hint="eastAsia" w:ascii="Times New Roman Bold Italic" w:hAnsi="Times New Roman Bold Italic" w:eastAsia="等线" w:cs="Times New Roman Bold Italic"/>
          <w:b/>
          <w:bCs/>
          <w:i/>
          <w:iCs/>
          <w:highlight w:val="yellow"/>
          <w:u w:val="single"/>
          <w:lang w:val="en-US" w:eastAsia="zh-CN"/>
        </w:rPr>
      </w:pPr>
    </w:p>
    <w:p w14:paraId="73E47F32">
      <w:pPr>
        <w:pStyle w:val="5"/>
        <w:rPr>
          <w:rFonts w:hint="default" w:ascii="Times New Roman Bold Italic" w:hAnsi="Times New Roman Bold Italic" w:cs="Times New Roman Bold Italic"/>
          <w:b/>
          <w:bCs/>
          <w:i/>
          <w:iCs/>
          <w:sz w:val="22"/>
          <w:szCs w:val="22"/>
          <w:lang w:eastAsia="zh-CN"/>
        </w:rPr>
      </w:pPr>
      <w:r>
        <w:rPr>
          <w:rFonts w:hint="default" w:ascii="Times New Roman Bold Italic" w:hAnsi="Times New Roman Bold Italic" w:cs="Times New Roman Bold Italic"/>
          <w:b/>
          <w:bCs/>
          <w:i/>
          <w:iCs/>
          <w:sz w:val="22"/>
          <w:szCs w:val="22"/>
          <w:lang w:eastAsia="zh-CN"/>
        </w:rPr>
        <w:t xml:space="preserve">Proposal </w:t>
      </w:r>
      <w:r>
        <w:rPr>
          <w:rFonts w:hint="eastAsia" w:ascii="Times New Roman Bold Italic" w:hAnsi="Times New Roman Bold Italic" w:cs="Times New Roman Bold Italic"/>
          <w:b/>
          <w:bCs/>
          <w:i/>
          <w:iCs/>
          <w:sz w:val="22"/>
          <w:szCs w:val="22"/>
          <w:lang w:val="en-US" w:eastAsia="zh-CN"/>
        </w:rPr>
        <w:t>15</w:t>
      </w:r>
      <w:r>
        <w:rPr>
          <w:rFonts w:hint="default" w:ascii="Times New Roman Bold Italic" w:hAnsi="Times New Roman Bold Italic" w:cs="Times New Roman Bold Italic"/>
          <w:b/>
          <w:bCs/>
          <w:i/>
          <w:iCs/>
          <w:sz w:val="22"/>
          <w:szCs w:val="22"/>
          <w:lang w:eastAsia="zh-CN"/>
        </w:rPr>
        <w:t>: For FR3 RRM measurements, reusing the reference configuration for FR1.</w:t>
      </w:r>
    </w:p>
    <w:p w14:paraId="35DF53CC">
      <w:pPr>
        <w:numPr>
          <w:ilvl w:val="0"/>
          <w:numId w:val="0"/>
        </w:numPr>
        <w:outlineLvl w:val="9"/>
        <w:rPr>
          <w:rFonts w:hint="eastAsia" w:ascii="Times New Roman Bold Italic" w:hAnsi="Times New Roman Bold Italic" w:eastAsia="等线" w:cs="Times New Roman Bold Italic"/>
          <w:b/>
          <w:bCs/>
          <w:i/>
          <w:iCs/>
          <w:highlight w:val="yellow"/>
          <w:u w:val="single"/>
          <w:lang w:val="en-US" w:eastAsia="zh-CN"/>
        </w:rPr>
      </w:pPr>
    </w:p>
    <w:p w14:paraId="759483BD">
      <w:pPr>
        <w:pStyle w:val="5"/>
        <w:rPr>
          <w:rFonts w:hint="default" w:ascii="Times New Roman Bold Italic" w:hAnsi="Times New Roman Bold Italic" w:cs="Times New Roman Bold Italic"/>
          <w:b/>
          <w:bCs/>
          <w:i/>
          <w:iCs/>
          <w:sz w:val="22"/>
          <w:szCs w:val="22"/>
          <w:lang w:eastAsia="zh-CN"/>
        </w:rPr>
      </w:pPr>
      <w:r>
        <w:rPr>
          <w:rFonts w:hint="default" w:ascii="Times New Roman Bold Italic" w:hAnsi="Times New Roman Bold Italic" w:cs="Times New Roman Bold Italic"/>
          <w:b/>
          <w:bCs/>
          <w:i/>
          <w:iCs/>
          <w:sz w:val="22"/>
          <w:szCs w:val="22"/>
          <w:lang w:eastAsia="zh-CN"/>
        </w:rPr>
        <w:t xml:space="preserve">Proposal </w:t>
      </w:r>
      <w:r>
        <w:rPr>
          <w:rFonts w:hint="default" w:ascii="Times New Roman Bold Italic" w:hAnsi="Times New Roman Bold Italic" w:cs="Times New Roman Bold Italic"/>
          <w:b/>
          <w:bCs/>
          <w:i/>
          <w:iCs/>
          <w:sz w:val="22"/>
          <w:szCs w:val="22"/>
          <w:lang w:val="en-US" w:eastAsia="zh-CN"/>
        </w:rPr>
        <w:t>1</w:t>
      </w:r>
      <w:r>
        <w:rPr>
          <w:rFonts w:hint="eastAsia" w:ascii="Times New Roman Bold Italic" w:hAnsi="Times New Roman Bold Italic" w:cs="Times New Roman Bold Italic"/>
          <w:b/>
          <w:bCs/>
          <w:i/>
          <w:iCs/>
          <w:sz w:val="22"/>
          <w:szCs w:val="22"/>
          <w:lang w:val="en-US" w:eastAsia="zh-CN"/>
        </w:rPr>
        <w:t>6</w:t>
      </w:r>
      <w:r>
        <w:rPr>
          <w:rFonts w:hint="default" w:ascii="Times New Roman Bold Italic" w:hAnsi="Times New Roman Bold Italic" w:cs="Times New Roman Bold Italic"/>
          <w:b/>
          <w:bCs/>
          <w:i/>
          <w:iCs/>
          <w:sz w:val="22"/>
          <w:szCs w:val="22"/>
          <w:lang w:eastAsia="zh-CN"/>
        </w:rPr>
        <w:t xml:space="preserve">: Support different power models for diverse device types considering different capabilities of RF chains, bandwidth and other </w:t>
      </w:r>
      <w:r>
        <w:rPr>
          <w:rFonts w:hint="eastAsia" w:ascii="Times New Roman Bold Italic" w:hAnsi="Times New Roman Bold Italic" w:cs="Times New Roman Bold Italic"/>
          <w:b/>
          <w:bCs/>
          <w:i/>
          <w:iCs/>
          <w:sz w:val="22"/>
          <w:szCs w:val="22"/>
          <w:lang w:val="en-US" w:eastAsia="zh-CN"/>
        </w:rPr>
        <w:t>aspects</w:t>
      </w:r>
      <w:r>
        <w:rPr>
          <w:rFonts w:hint="default" w:ascii="Times New Roman Bold Italic" w:hAnsi="Times New Roman Bold Italic" w:cs="Times New Roman Bold Italic"/>
          <w:b/>
          <w:bCs/>
          <w:i/>
          <w:iCs/>
          <w:sz w:val="22"/>
          <w:szCs w:val="22"/>
          <w:lang w:eastAsia="zh-CN"/>
        </w:rPr>
        <w:t>.</w:t>
      </w:r>
    </w:p>
    <w:p w14:paraId="52A65387">
      <w:pPr>
        <w:numPr>
          <w:ilvl w:val="0"/>
          <w:numId w:val="0"/>
        </w:numPr>
        <w:outlineLvl w:val="9"/>
        <w:rPr>
          <w:rFonts w:hint="eastAsia" w:ascii="Times New Roman Bold Italic" w:hAnsi="Times New Roman Bold Italic" w:eastAsia="等线" w:cs="Times New Roman Bold Italic"/>
          <w:b/>
          <w:bCs/>
          <w:i/>
          <w:iCs/>
          <w:highlight w:val="yellow"/>
          <w:u w:val="single"/>
          <w:lang w:val="en-US" w:eastAsia="zh-CN"/>
        </w:rPr>
      </w:pPr>
    </w:p>
    <w:p w14:paraId="74EFC79E">
      <w:pPr>
        <w:pStyle w:val="5"/>
        <w:rPr>
          <w:rFonts w:hint="default" w:ascii="Times New Roman Bold Italic" w:hAnsi="Times New Roman Bold Italic" w:cs="Times New Roman Bold Italic"/>
          <w:b/>
          <w:bCs/>
          <w:i/>
          <w:iCs/>
          <w:sz w:val="22"/>
          <w:szCs w:val="22"/>
        </w:rPr>
      </w:pPr>
      <w:r>
        <w:rPr>
          <w:rFonts w:hint="default" w:ascii="Times New Roman Bold Italic" w:hAnsi="Times New Roman Bold Italic" w:cs="Times New Roman Bold Italic"/>
          <w:b/>
          <w:bCs/>
          <w:i/>
          <w:iCs/>
          <w:sz w:val="22"/>
          <w:szCs w:val="22"/>
          <w:lang w:eastAsia="zh-CN"/>
        </w:rPr>
        <w:t xml:space="preserve">Proposal </w:t>
      </w:r>
      <w:r>
        <w:rPr>
          <w:rFonts w:hint="default" w:ascii="Times New Roman Bold Italic" w:hAnsi="Times New Roman Bold Italic" w:cs="Times New Roman Bold Italic"/>
          <w:b/>
          <w:bCs/>
          <w:i/>
          <w:iCs/>
          <w:sz w:val="22"/>
          <w:szCs w:val="22"/>
          <w:lang w:val="en-US" w:eastAsia="zh-CN"/>
        </w:rPr>
        <w:t>17</w:t>
      </w:r>
      <w:r>
        <w:rPr>
          <w:rFonts w:hint="default" w:ascii="Times New Roman Bold Italic" w:hAnsi="Times New Roman Bold Italic" w:cs="Times New Roman Bold Italic"/>
          <w:b/>
          <w:bCs/>
          <w:i/>
          <w:iCs/>
          <w:sz w:val="22"/>
          <w:szCs w:val="22"/>
          <w:lang w:eastAsia="zh-CN"/>
        </w:rPr>
        <w:t xml:space="preserve">: For each power state for DL including non-sleep state and sleep state, </w:t>
      </w:r>
      <w:r>
        <w:rPr>
          <w:rFonts w:hint="default" w:ascii="Times New Roman Bold Italic" w:hAnsi="Times New Roman Bold Italic" w:cs="Times New Roman Bold Italic"/>
          <w:b/>
          <w:bCs/>
          <w:i/>
          <w:iCs/>
          <w:sz w:val="22"/>
          <w:szCs w:val="22"/>
        </w:rPr>
        <w:t>the power can be calculated as follows:</w:t>
      </w:r>
    </w:p>
    <w:p w14:paraId="2B57CAA3">
      <w:pPr>
        <w:pStyle w:val="5"/>
        <w:rPr>
          <w:b/>
          <w:bCs/>
          <w:sz w:val="22"/>
          <w:szCs w:val="22"/>
          <w:lang w:eastAsia="zh-CN"/>
        </w:rPr>
      </w:pPr>
      <m:oMathPara>
        <m:oMath>
          <m:r>
            <m:rPr>
              <m:sty m:val="bi"/>
            </m:rPr>
            <w:rPr>
              <w:rFonts w:ascii="Cambria Math" w:hAnsi="Cambria Math"/>
              <w:sz w:val="22"/>
              <w:szCs w:val="22"/>
              <w:lang w:eastAsia="zh-CN"/>
            </w:rPr>
            <m:t>P=t1∗</m:t>
          </m:r>
          <m:sSub>
            <m:sSubPr>
              <m:ctrlPr>
                <w:rPr>
                  <w:rFonts w:ascii="Cambria Math" w:hAnsi="Cambria Math"/>
                  <w:b/>
                  <w:bCs/>
                  <w:i/>
                  <w:sz w:val="22"/>
                  <w:szCs w:val="22"/>
                  <w:lang w:eastAsia="zh-CN"/>
                </w:rPr>
              </m:ctrlPr>
            </m:sSubPr>
            <m:e>
              <m:r>
                <m:rPr>
                  <m:sty m:val="bi"/>
                </m:rPr>
                <w:rPr>
                  <w:rFonts w:ascii="Cambria Math" w:hAnsi="Cambria Math"/>
                  <w:sz w:val="22"/>
                  <w:szCs w:val="22"/>
                  <w:lang w:eastAsia="zh-CN"/>
                </w:rPr>
                <m:t>f1∗s1∗P</m:t>
              </m:r>
              <m:ctrlPr>
                <w:rPr>
                  <w:rFonts w:ascii="Cambria Math" w:hAnsi="Cambria Math"/>
                  <w:b/>
                  <w:bCs/>
                  <w:i/>
                  <w:sz w:val="22"/>
                  <w:szCs w:val="22"/>
                  <w:lang w:eastAsia="zh-CN"/>
                </w:rPr>
              </m:ctrlPr>
            </m:e>
            <m:sub>
              <m:r>
                <m:rPr>
                  <m:sty m:val="bi"/>
                </m:rPr>
                <w:rPr>
                  <w:rFonts w:ascii="Cambria Math" w:hAnsi="Cambria Math"/>
                  <w:sz w:val="22"/>
                  <w:szCs w:val="22"/>
                  <w:lang w:eastAsia="zh-CN"/>
                </w:rPr>
                <m:t>RF</m:t>
              </m:r>
              <m:ctrlPr>
                <w:rPr>
                  <w:rFonts w:ascii="Cambria Math" w:hAnsi="Cambria Math"/>
                  <w:b/>
                  <w:bCs/>
                  <w:i/>
                  <w:sz w:val="22"/>
                  <w:szCs w:val="22"/>
                  <w:lang w:eastAsia="zh-CN"/>
                </w:rPr>
              </m:ctrlPr>
            </m:sub>
          </m:sSub>
          <m:r>
            <m:rPr>
              <m:sty m:val="bi"/>
            </m:rPr>
            <w:rPr>
              <w:rFonts w:ascii="Cambria Math" w:hAnsi="Cambria Math"/>
              <w:sz w:val="22"/>
              <w:szCs w:val="22"/>
              <w:lang w:eastAsia="zh-CN"/>
            </w:rPr>
            <m:t>+t2∗</m:t>
          </m:r>
          <m:sSub>
            <m:sSubPr>
              <m:ctrlPr>
                <w:rPr>
                  <w:rFonts w:ascii="Cambria Math" w:hAnsi="Cambria Math"/>
                  <w:b/>
                  <w:bCs/>
                  <w:i/>
                  <w:sz w:val="22"/>
                  <w:szCs w:val="22"/>
                  <w:lang w:eastAsia="zh-CN"/>
                </w:rPr>
              </m:ctrlPr>
            </m:sSubPr>
            <m:e>
              <m:r>
                <m:rPr>
                  <m:sty m:val="bi"/>
                </m:rPr>
                <w:rPr>
                  <w:rFonts w:ascii="Cambria Math" w:hAnsi="Cambria Math"/>
                  <w:sz w:val="22"/>
                  <w:szCs w:val="22"/>
                  <w:lang w:eastAsia="zh-CN"/>
                </w:rPr>
                <m:t>f2∗s2∗P</m:t>
              </m:r>
              <m:ctrlPr>
                <w:rPr>
                  <w:rFonts w:ascii="Cambria Math" w:hAnsi="Cambria Math"/>
                  <w:b/>
                  <w:bCs/>
                  <w:i/>
                  <w:sz w:val="22"/>
                  <w:szCs w:val="22"/>
                  <w:lang w:eastAsia="zh-CN"/>
                </w:rPr>
              </m:ctrlPr>
            </m:e>
            <m:sub>
              <m:r>
                <m:rPr>
                  <m:sty m:val="bi"/>
                </m:rPr>
                <w:rPr>
                  <w:rFonts w:ascii="Cambria Math" w:hAnsi="Cambria Math"/>
                  <w:sz w:val="22"/>
                  <w:szCs w:val="22"/>
                  <w:lang w:eastAsia="zh-CN"/>
                </w:rPr>
                <m:t>BB</m:t>
              </m:r>
              <m:ctrlPr>
                <w:rPr>
                  <w:rFonts w:ascii="Cambria Math" w:hAnsi="Cambria Math"/>
                  <w:b/>
                  <w:bCs/>
                  <w:i/>
                  <w:sz w:val="22"/>
                  <w:szCs w:val="22"/>
                  <w:lang w:eastAsia="zh-CN"/>
                </w:rPr>
              </m:ctrlPr>
            </m:sub>
          </m:sSub>
        </m:oMath>
      </m:oMathPara>
    </w:p>
    <w:p w14:paraId="19938FAE">
      <w:pPr>
        <w:pStyle w:val="5"/>
        <w:rPr>
          <w:b/>
          <w:bCs/>
          <w:i/>
          <w:iCs/>
          <w:sz w:val="22"/>
          <w:szCs w:val="22"/>
          <w:lang w:eastAsia="zh-CN"/>
        </w:rPr>
      </w:pPr>
      <w:r>
        <w:rPr>
          <w:b/>
          <w:bCs/>
          <w:i/>
          <w:iCs/>
          <w:sz w:val="22"/>
          <w:szCs w:val="22"/>
          <w:lang w:eastAsia="zh-CN"/>
        </w:rPr>
        <w:t xml:space="preserve">Wherein, the value of </w:t>
      </w:r>
      <m:oMath>
        <m:sSub>
          <m:sSubPr>
            <m:ctrlPr>
              <w:rPr>
                <w:rFonts w:ascii="DejaVu Math TeX Gyre" w:hAnsi="DejaVu Math TeX Gyre"/>
                <w:b/>
                <w:bCs/>
                <w:i/>
                <w:iCs/>
                <w:sz w:val="22"/>
                <w:szCs w:val="22"/>
                <w:lang w:eastAsia="zh-CN"/>
              </w:rPr>
            </m:ctrlPr>
          </m:sSubPr>
          <m:e>
            <m:r>
              <m:rPr>
                <m:sty m:val="bi"/>
              </m:rPr>
              <w:rPr>
                <w:rFonts w:ascii="DejaVu Math TeX Gyre" w:hAnsi="DejaVu Math TeX Gyre"/>
                <w:sz w:val="22"/>
                <w:szCs w:val="22"/>
                <w:lang w:eastAsia="zh-CN"/>
              </w:rPr>
              <m:t>P</m:t>
            </m:r>
            <m:ctrlPr>
              <w:rPr>
                <w:rFonts w:ascii="DejaVu Math TeX Gyre" w:hAnsi="DejaVu Math TeX Gyre"/>
                <w:b/>
                <w:bCs/>
                <w:i/>
                <w:iCs/>
                <w:sz w:val="22"/>
                <w:szCs w:val="22"/>
                <w:lang w:eastAsia="zh-CN"/>
              </w:rPr>
            </m:ctrlPr>
          </m:e>
          <m:sub>
            <m:r>
              <m:rPr>
                <m:sty m:val="bi"/>
              </m:rPr>
              <w:rPr>
                <w:rFonts w:ascii="DejaVu Math TeX Gyre" w:hAnsi="DejaVu Math TeX Gyre"/>
                <w:sz w:val="22"/>
                <w:szCs w:val="22"/>
                <w:lang w:eastAsia="zh-CN"/>
              </w:rPr>
              <m:t>RF</m:t>
            </m:r>
            <m:ctrlPr>
              <w:rPr>
                <w:rFonts w:ascii="DejaVu Math TeX Gyre" w:hAnsi="DejaVu Math TeX Gyre"/>
                <w:b/>
                <w:bCs/>
                <w:i/>
                <w:iCs/>
                <w:sz w:val="22"/>
                <w:szCs w:val="22"/>
                <w:lang w:eastAsia="zh-CN"/>
              </w:rPr>
            </m:ctrlPr>
          </m:sub>
        </m:sSub>
        <m:r>
          <m:rPr>
            <m:sty m:val="bi"/>
          </m:rPr>
          <w:rPr>
            <w:rFonts w:ascii="DejaVu Math TeX Gyre" w:hAnsi="DejaVu Math TeX Gyre"/>
            <w:sz w:val="22"/>
            <w:szCs w:val="22"/>
            <w:lang w:eastAsia="zh-CN"/>
          </w:rPr>
          <m:t>+</m:t>
        </m:r>
        <m:sSub>
          <m:sSubPr>
            <m:ctrlPr>
              <w:rPr>
                <w:rFonts w:ascii="DejaVu Math TeX Gyre" w:hAnsi="DejaVu Math TeX Gyre"/>
                <w:b/>
                <w:bCs/>
                <w:i/>
                <w:iCs/>
                <w:sz w:val="22"/>
                <w:szCs w:val="22"/>
                <w:lang w:eastAsia="zh-CN"/>
              </w:rPr>
            </m:ctrlPr>
          </m:sSubPr>
          <m:e>
            <m:r>
              <m:rPr>
                <m:sty m:val="bi"/>
              </m:rPr>
              <w:rPr>
                <w:rFonts w:ascii="DejaVu Math TeX Gyre" w:hAnsi="DejaVu Math TeX Gyre"/>
                <w:sz w:val="22"/>
                <w:szCs w:val="22"/>
                <w:lang w:eastAsia="zh-CN"/>
              </w:rPr>
              <m:t>P</m:t>
            </m:r>
            <m:ctrlPr>
              <w:rPr>
                <w:rFonts w:ascii="DejaVu Math TeX Gyre" w:hAnsi="DejaVu Math TeX Gyre"/>
                <w:b/>
                <w:bCs/>
                <w:i/>
                <w:iCs/>
                <w:sz w:val="22"/>
                <w:szCs w:val="22"/>
                <w:lang w:eastAsia="zh-CN"/>
              </w:rPr>
            </m:ctrlPr>
          </m:e>
          <m:sub>
            <m:r>
              <m:rPr>
                <m:sty m:val="bi"/>
              </m:rPr>
              <w:rPr>
                <w:rFonts w:ascii="DejaVu Math TeX Gyre" w:hAnsi="DejaVu Math TeX Gyre"/>
                <w:sz w:val="22"/>
                <w:szCs w:val="22"/>
                <w:lang w:eastAsia="zh-CN"/>
              </w:rPr>
              <m:t>BB</m:t>
            </m:r>
            <m:ctrlPr>
              <w:rPr>
                <w:rFonts w:ascii="DejaVu Math TeX Gyre" w:hAnsi="DejaVu Math TeX Gyre"/>
                <w:b/>
                <w:bCs/>
                <w:i/>
                <w:iCs/>
                <w:sz w:val="22"/>
                <w:szCs w:val="22"/>
                <w:lang w:eastAsia="zh-CN"/>
              </w:rPr>
            </m:ctrlPr>
          </m:sub>
        </m:sSub>
      </m:oMath>
      <w:r>
        <w:rPr>
          <w:rFonts w:hint="eastAsia"/>
          <w:b/>
          <w:bCs/>
          <w:i/>
          <w:iCs/>
          <w:sz w:val="22"/>
          <w:szCs w:val="22"/>
          <w:lang w:eastAsia="zh-CN"/>
        </w:rPr>
        <w:t xml:space="preserve"> </w:t>
      </w:r>
      <w:r>
        <w:rPr>
          <w:b/>
          <w:bCs/>
          <w:i/>
          <w:iCs/>
          <w:sz w:val="22"/>
          <w:szCs w:val="22"/>
          <w:lang w:eastAsia="zh-CN"/>
        </w:rPr>
        <w:t>equals to the relative power of the reference configuration, and</w:t>
      </w:r>
    </w:p>
    <w:p w14:paraId="52263035">
      <w:pPr>
        <w:pStyle w:val="5"/>
        <w:rPr>
          <w:b/>
          <w:bCs/>
          <w:i/>
          <w:iCs/>
          <w:sz w:val="22"/>
          <w:szCs w:val="22"/>
        </w:rPr>
      </w:pPr>
      <w:r>
        <w:rPr>
          <w:rFonts w:hint="default" w:ascii="Times New Roman Bold" w:hAnsi="Times New Roman Bold" w:cs="Times New Roman Bold"/>
          <w:b/>
          <w:bCs/>
          <w:i w:val="0"/>
          <w:iCs w:val="0"/>
          <w:sz w:val="22"/>
          <w:szCs w:val="22"/>
          <w:lang w:eastAsia="zh-CN"/>
        </w:rPr>
        <w:t>(t1, t2)</w:t>
      </w:r>
      <w:r>
        <w:rPr>
          <w:b/>
          <w:bCs/>
          <w:i/>
          <w:iCs/>
          <w:sz w:val="22"/>
          <w:szCs w:val="22"/>
          <w:lang w:eastAsia="zh-CN"/>
        </w:rPr>
        <w:t xml:space="preserve"> are the factors in relative to the power of RF</w:t>
      </w:r>
      <w:r>
        <w:rPr>
          <w:b/>
          <w:bCs/>
          <w:i/>
          <w:iCs/>
          <w:sz w:val="22"/>
          <w:szCs w:val="22"/>
        </w:rPr>
        <w:t xml:space="preserve"> portion and</w:t>
      </w:r>
      <w:r>
        <w:rPr>
          <w:b/>
          <w:bCs/>
          <w:i/>
          <w:iCs/>
          <w:sz w:val="22"/>
          <w:szCs w:val="22"/>
          <w:lang w:eastAsia="zh-CN"/>
        </w:rPr>
        <w:t xml:space="preserve"> the power of BB </w:t>
      </w:r>
      <w:r>
        <w:rPr>
          <w:b/>
          <w:bCs/>
          <w:i/>
          <w:iCs/>
          <w:sz w:val="22"/>
          <w:szCs w:val="22"/>
        </w:rPr>
        <w:t xml:space="preserve">portion respectively, if the </w:t>
      </w:r>
      <w:r>
        <w:rPr>
          <w:rFonts w:hint="eastAsia"/>
          <w:b/>
          <w:bCs/>
          <w:i/>
          <w:iCs/>
          <w:sz w:val="22"/>
          <w:szCs w:val="22"/>
        </w:rPr>
        <w:t>parameters</w:t>
      </w:r>
      <w:r>
        <w:rPr>
          <w:b/>
          <w:bCs/>
          <w:i/>
          <w:iCs/>
          <w:sz w:val="22"/>
          <w:szCs w:val="22"/>
        </w:rPr>
        <w:t xml:space="preserve"> in time domain is changed;</w:t>
      </w:r>
    </w:p>
    <w:p w14:paraId="5CE155DE">
      <w:pPr>
        <w:pStyle w:val="5"/>
        <w:rPr>
          <w:b/>
          <w:bCs/>
          <w:i/>
          <w:iCs/>
          <w:sz w:val="22"/>
          <w:szCs w:val="22"/>
        </w:rPr>
      </w:pPr>
      <w:r>
        <w:rPr>
          <w:rFonts w:hint="default" w:ascii="Times New Roman Bold" w:hAnsi="Times New Roman Bold" w:cs="Times New Roman Bold"/>
          <w:b/>
          <w:bCs/>
          <w:i w:val="0"/>
          <w:iCs w:val="0"/>
          <w:sz w:val="22"/>
          <w:szCs w:val="22"/>
          <w:lang w:eastAsia="zh-CN"/>
        </w:rPr>
        <w:t>(f1, f2)</w:t>
      </w:r>
      <w:r>
        <w:rPr>
          <w:b/>
          <w:bCs/>
          <w:i/>
          <w:iCs/>
          <w:sz w:val="22"/>
          <w:szCs w:val="22"/>
          <w:lang w:eastAsia="zh-CN"/>
        </w:rPr>
        <w:t xml:space="preserve"> are the factors in relative to the power of RF</w:t>
      </w:r>
      <w:r>
        <w:rPr>
          <w:b/>
          <w:bCs/>
          <w:i/>
          <w:iCs/>
          <w:sz w:val="22"/>
          <w:szCs w:val="22"/>
        </w:rPr>
        <w:t xml:space="preserve"> portion and</w:t>
      </w:r>
      <w:r>
        <w:rPr>
          <w:b/>
          <w:bCs/>
          <w:i/>
          <w:iCs/>
          <w:sz w:val="22"/>
          <w:szCs w:val="22"/>
          <w:lang w:eastAsia="zh-CN"/>
        </w:rPr>
        <w:t xml:space="preserve"> the power of BB </w:t>
      </w:r>
      <w:r>
        <w:rPr>
          <w:b/>
          <w:bCs/>
          <w:i/>
          <w:iCs/>
          <w:sz w:val="22"/>
          <w:szCs w:val="22"/>
        </w:rPr>
        <w:t xml:space="preserve">portion respectively, if the </w:t>
      </w:r>
      <w:r>
        <w:rPr>
          <w:rFonts w:hint="eastAsia"/>
          <w:b/>
          <w:bCs/>
          <w:i/>
          <w:iCs/>
          <w:sz w:val="22"/>
          <w:szCs w:val="22"/>
        </w:rPr>
        <w:t>parameters</w:t>
      </w:r>
      <w:r>
        <w:rPr>
          <w:b/>
          <w:bCs/>
          <w:i/>
          <w:iCs/>
          <w:sz w:val="22"/>
          <w:szCs w:val="22"/>
        </w:rPr>
        <w:t xml:space="preserve"> in frequency domain is changed;</w:t>
      </w:r>
    </w:p>
    <w:p w14:paraId="0F974A19">
      <w:pPr>
        <w:pStyle w:val="5"/>
        <w:rPr>
          <w:i/>
          <w:iCs/>
          <w:sz w:val="22"/>
          <w:szCs w:val="22"/>
          <w:lang w:eastAsia="zh-CN"/>
        </w:rPr>
      </w:pPr>
      <w:r>
        <w:rPr>
          <w:rFonts w:hint="default" w:ascii="Times New Roman Bold" w:hAnsi="Times New Roman Bold" w:cs="Times New Roman Bold"/>
          <w:b/>
          <w:bCs/>
          <w:i w:val="0"/>
          <w:iCs w:val="0"/>
          <w:sz w:val="22"/>
          <w:szCs w:val="22"/>
          <w:lang w:eastAsia="zh-CN"/>
        </w:rPr>
        <w:t xml:space="preserve">(f1, f2) </w:t>
      </w:r>
      <w:r>
        <w:rPr>
          <w:b/>
          <w:bCs/>
          <w:i/>
          <w:iCs/>
          <w:sz w:val="22"/>
          <w:szCs w:val="22"/>
          <w:lang w:eastAsia="zh-CN"/>
        </w:rPr>
        <w:t>are the factors in relative to the power of RF</w:t>
      </w:r>
      <w:r>
        <w:rPr>
          <w:b/>
          <w:bCs/>
          <w:i/>
          <w:iCs/>
          <w:sz w:val="22"/>
          <w:szCs w:val="22"/>
        </w:rPr>
        <w:t xml:space="preserve"> portion and</w:t>
      </w:r>
      <w:r>
        <w:rPr>
          <w:b/>
          <w:bCs/>
          <w:i/>
          <w:iCs/>
          <w:sz w:val="22"/>
          <w:szCs w:val="22"/>
          <w:lang w:eastAsia="zh-CN"/>
        </w:rPr>
        <w:t xml:space="preserve"> the power of BB </w:t>
      </w:r>
      <w:r>
        <w:rPr>
          <w:b/>
          <w:bCs/>
          <w:i/>
          <w:iCs/>
          <w:sz w:val="22"/>
          <w:szCs w:val="22"/>
        </w:rPr>
        <w:t xml:space="preserve">portion respectively, if the </w:t>
      </w:r>
      <w:r>
        <w:rPr>
          <w:rFonts w:hint="eastAsia"/>
          <w:b/>
          <w:bCs/>
          <w:i/>
          <w:iCs/>
          <w:sz w:val="22"/>
          <w:szCs w:val="22"/>
        </w:rPr>
        <w:t>parameters</w:t>
      </w:r>
      <w:r>
        <w:rPr>
          <w:b/>
          <w:bCs/>
          <w:i/>
          <w:iCs/>
          <w:sz w:val="22"/>
          <w:szCs w:val="22"/>
        </w:rPr>
        <w:t xml:space="preserve"> in spatial domain is changed.</w:t>
      </w:r>
    </w:p>
    <w:p w14:paraId="2BB77140">
      <w:pPr>
        <w:numPr>
          <w:ilvl w:val="0"/>
          <w:numId w:val="0"/>
        </w:numPr>
        <w:outlineLvl w:val="9"/>
        <w:rPr>
          <w:rFonts w:hint="eastAsia" w:ascii="Times New Roman Bold Italic" w:hAnsi="Times New Roman Bold Italic" w:eastAsia="等线" w:cs="Times New Roman Bold Italic"/>
          <w:b/>
          <w:bCs/>
          <w:i/>
          <w:iCs/>
          <w:highlight w:val="yellow"/>
          <w:u w:val="single"/>
          <w:lang w:val="en-US" w:eastAsia="zh-CN"/>
        </w:rPr>
      </w:pPr>
    </w:p>
    <w:p w14:paraId="0C478D5A">
      <w:pPr>
        <w:pStyle w:val="5"/>
        <w:rPr>
          <w:sz w:val="22"/>
          <w:szCs w:val="22"/>
        </w:rPr>
      </w:pPr>
      <w:r>
        <w:rPr>
          <w:b/>
          <w:bCs/>
          <w:sz w:val="22"/>
          <w:szCs w:val="22"/>
          <w:lang w:eastAsia="zh-CN"/>
        </w:rPr>
        <w:t xml:space="preserve">Proposal </w:t>
      </w:r>
      <w:r>
        <w:rPr>
          <w:rFonts w:hint="eastAsia"/>
          <w:b/>
          <w:bCs/>
          <w:sz w:val="22"/>
          <w:szCs w:val="22"/>
          <w:lang w:val="en-US" w:eastAsia="zh-CN"/>
        </w:rPr>
        <w:t>18</w:t>
      </w:r>
      <w:r>
        <w:rPr>
          <w:b/>
          <w:bCs/>
          <w:sz w:val="22"/>
          <w:szCs w:val="22"/>
          <w:lang w:eastAsia="zh-CN"/>
        </w:rPr>
        <w:t xml:space="preserve">: Adopt the </w:t>
      </w:r>
      <w:r>
        <w:rPr>
          <w:rFonts w:eastAsia="PMingLiU" w:cs="Arial"/>
          <w:b/>
          <w:sz w:val="22"/>
          <w:szCs w:val="22"/>
          <w:lang w:eastAsia="zh-TW"/>
        </w:rPr>
        <w:t>transition energy and transition time</w:t>
      </w:r>
      <w:r>
        <w:rPr>
          <w:b/>
          <w:bCs/>
          <w:sz w:val="22"/>
          <w:szCs w:val="22"/>
          <w:lang w:eastAsia="zh-CN"/>
        </w:rPr>
        <w:t xml:space="preserve"> in </w:t>
      </w:r>
      <w:r>
        <w:rPr>
          <w:rFonts w:hint="default" w:ascii="Times New Roman Bold" w:hAnsi="Times New Roman Bold" w:cs="Times New Roman Bold"/>
          <w:b/>
          <w:bCs/>
          <w:sz w:val="22"/>
          <w:szCs w:val="22"/>
          <w:highlight w:val="none"/>
          <w:lang w:eastAsia="zh-CN"/>
        </w:rPr>
        <w:t xml:space="preserve">Table </w:t>
      </w:r>
      <w:r>
        <w:rPr>
          <w:rFonts w:hint="default" w:ascii="Times New Roman Bold" w:hAnsi="Times New Roman Bold" w:cs="Times New Roman Bold"/>
          <w:b/>
          <w:bCs/>
          <w:sz w:val="22"/>
          <w:szCs w:val="22"/>
          <w:highlight w:val="none"/>
          <w:lang w:val="en-US" w:eastAsia="zh-CN"/>
        </w:rPr>
        <w:t>10</w:t>
      </w:r>
      <w:r>
        <w:rPr>
          <w:b/>
          <w:bCs/>
          <w:sz w:val="22"/>
          <w:szCs w:val="22"/>
          <w:lang w:eastAsia="zh-CN"/>
        </w:rPr>
        <w:t xml:space="preserve"> for sleep states.</w:t>
      </w:r>
    </w:p>
    <w:p w14:paraId="180A8CAC">
      <w:pPr>
        <w:pStyle w:val="13"/>
        <w:rPr>
          <w:rFonts w:hint="default" w:ascii="Times New Roman Italic" w:hAnsi="Times New Roman Italic" w:cs="Times New Roman Italic"/>
          <w:b w:val="0"/>
          <w:bCs w:val="0"/>
          <w:i/>
          <w:iCs/>
          <w:lang w:eastAsia="zh-CN"/>
        </w:rPr>
      </w:pPr>
      <w:r>
        <w:rPr>
          <w:rFonts w:hint="default" w:ascii="Times New Roman Italic" w:hAnsi="Times New Roman Italic" w:cs="Times New Roman Italic"/>
          <w:b w:val="0"/>
          <w:bCs w:val="0"/>
          <w:i/>
          <w:iCs/>
          <w:highlight w:val="none"/>
        </w:rPr>
        <w:t xml:space="preserve">Table </w:t>
      </w:r>
      <w:r>
        <w:rPr>
          <w:rFonts w:hint="default" w:ascii="Times New Roman Italic" w:hAnsi="Times New Roman Italic" w:cs="Times New Roman Italic"/>
          <w:b w:val="0"/>
          <w:bCs w:val="0"/>
          <w:i/>
          <w:iCs/>
          <w:highlight w:val="none"/>
          <w:lang w:val="en-US" w:eastAsia="zh-CN"/>
        </w:rPr>
        <w:t>10</w:t>
      </w:r>
      <w:r>
        <w:rPr>
          <w:rFonts w:hint="default" w:ascii="Times New Roman Italic" w:hAnsi="Times New Roman Italic" w:cs="Times New Roman Italic"/>
          <w:b w:val="0"/>
          <w:bCs w:val="0"/>
          <w:i/>
          <w:iCs/>
        </w:rPr>
        <w:t xml:space="preserve"> </w:t>
      </w:r>
      <w:r>
        <w:rPr>
          <w:rFonts w:hint="eastAsia" w:ascii="Times New Roman Italic" w:hAnsi="Times New Roman Italic" w:cs="Times New Roman Italic"/>
          <w:b w:val="0"/>
          <w:bCs w:val="0"/>
          <w:i/>
          <w:iCs/>
          <w:lang w:val="en-US" w:eastAsia="zh-CN"/>
        </w:rPr>
        <w:t>T</w:t>
      </w:r>
      <w:r>
        <w:rPr>
          <w:rFonts w:hint="default" w:ascii="Times New Roman Italic" w:hAnsi="Times New Roman Italic" w:cs="Times New Roman Italic"/>
          <w:b w:val="0"/>
          <w:bCs w:val="0"/>
          <w:i/>
          <w:iCs/>
          <w:lang w:eastAsia="zh-CN"/>
        </w:rPr>
        <w:t>ransition energy and transition time for sleep states</w:t>
      </w:r>
    </w:p>
    <w:tbl>
      <w:tblPr>
        <w:tblStyle w:val="89"/>
        <w:tblW w:w="51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418"/>
        <w:gridCol w:w="3048"/>
        <w:gridCol w:w="3340"/>
      </w:tblGrid>
      <w:tr w14:paraId="446F3E8C">
        <w:trPr>
          <w:trHeight w:val="20" w:hRule="atLeast"/>
        </w:trPr>
        <w:tc>
          <w:tcPr>
            <w:tcW w:w="1872" w:type="dxa"/>
            <w:tcBorders>
              <w:top w:val="single" w:color="auto" w:sz="4" w:space="0"/>
              <w:left w:val="single" w:color="auto" w:sz="4" w:space="0"/>
              <w:bottom w:val="single" w:color="auto" w:sz="4" w:space="0"/>
              <w:right w:val="single" w:color="auto" w:sz="4" w:space="0"/>
            </w:tcBorders>
          </w:tcPr>
          <w:p w14:paraId="020CF683">
            <w:pPr>
              <w:suppressAutoHyphens/>
              <w:spacing w:line="256" w:lineRule="auto"/>
              <w:rPr>
                <w:rFonts w:ascii="CG Times (WN)" w:hAnsi="CG Times (WN)" w:eastAsia="PMingLiU" w:cs="Arial"/>
                <w:b/>
                <w:lang w:eastAsia="zh-TW"/>
              </w:rPr>
            </w:pPr>
            <w:r>
              <w:rPr>
                <w:rFonts w:ascii="CG Times (WN)" w:hAnsi="CG Times (WN)" w:eastAsia="PMingLiU" w:cs="Arial"/>
                <w:b/>
                <w:lang w:eastAsia="zh-TW"/>
              </w:rPr>
              <w:t>Sleep type</w:t>
            </w:r>
          </w:p>
        </w:tc>
        <w:tc>
          <w:tcPr>
            <w:tcW w:w="1384" w:type="dxa"/>
            <w:tcBorders>
              <w:top w:val="single" w:color="auto" w:sz="4" w:space="0"/>
              <w:left w:val="single" w:color="auto" w:sz="4" w:space="0"/>
              <w:bottom w:val="single" w:color="auto" w:sz="4" w:space="0"/>
              <w:right w:val="single" w:color="auto" w:sz="4" w:space="0"/>
            </w:tcBorders>
          </w:tcPr>
          <w:p w14:paraId="29DAE105">
            <w:pPr>
              <w:suppressAutoHyphens/>
              <w:spacing w:line="256" w:lineRule="auto"/>
              <w:rPr>
                <w:rFonts w:hint="eastAsia" w:ascii="CG Times (WN)" w:hAnsi="CG Times (WN)" w:cs="Arial" w:eastAsiaTheme="minorEastAsia"/>
                <w:b/>
                <w:lang w:eastAsia="zh-CN"/>
              </w:rPr>
            </w:pPr>
            <w:r>
              <w:rPr>
                <w:rFonts w:ascii="CG Times (WN)" w:hAnsi="CG Times (WN)" w:cs="Arial" w:eastAsiaTheme="minorEastAsia"/>
                <w:b/>
                <w:lang w:eastAsia="zh-CN"/>
              </w:rPr>
              <w:t>Relative power</w:t>
            </w:r>
          </w:p>
        </w:tc>
        <w:tc>
          <w:tcPr>
            <w:tcW w:w="2976" w:type="dxa"/>
            <w:tcBorders>
              <w:top w:val="single" w:color="auto" w:sz="4" w:space="0"/>
              <w:left w:val="single" w:color="auto" w:sz="4" w:space="0"/>
              <w:bottom w:val="single" w:color="auto" w:sz="4" w:space="0"/>
              <w:right w:val="single" w:color="auto" w:sz="4" w:space="0"/>
            </w:tcBorders>
          </w:tcPr>
          <w:p w14:paraId="6F416BD2">
            <w:pPr>
              <w:suppressAutoHyphens/>
              <w:spacing w:line="256" w:lineRule="auto"/>
              <w:rPr>
                <w:rFonts w:ascii="CG Times (WN)" w:hAnsi="CG Times (WN)" w:eastAsia="PMingLiU" w:cs="Arial"/>
                <w:b/>
                <w:lang w:eastAsia="zh-TW"/>
              </w:rPr>
            </w:pPr>
            <w:r>
              <w:rPr>
                <w:rFonts w:ascii="CG Times (WN)" w:hAnsi="CG Times (WN)" w:eastAsia="PMingLiU" w:cs="Arial"/>
                <w:b/>
                <w:lang w:eastAsia="zh-TW"/>
              </w:rPr>
              <w:t>Additional transition energy:</w:t>
            </w:r>
          </w:p>
          <w:p w14:paraId="4EBC0246">
            <w:pPr>
              <w:suppressAutoHyphens/>
              <w:spacing w:line="256" w:lineRule="auto"/>
              <w:rPr>
                <w:rFonts w:ascii="CG Times (WN)" w:hAnsi="CG Times (WN)" w:eastAsia="PMingLiU" w:cs="Arial"/>
                <w:b/>
                <w:lang w:eastAsia="zh-TW"/>
              </w:rPr>
            </w:pPr>
            <w:r>
              <w:rPr>
                <w:rFonts w:ascii="CG Times (WN)" w:hAnsi="CG Times (WN)" w:eastAsia="PMingLiU" w:cs="Arial"/>
                <w:b/>
                <w:lang w:eastAsia="zh-TW"/>
              </w:rPr>
              <w:t xml:space="preserve">(Relative power x  ms) </w:t>
            </w:r>
          </w:p>
        </w:tc>
        <w:tc>
          <w:tcPr>
            <w:tcW w:w="3261" w:type="dxa"/>
            <w:tcBorders>
              <w:top w:val="single" w:color="auto" w:sz="4" w:space="0"/>
              <w:left w:val="single" w:color="auto" w:sz="4" w:space="0"/>
              <w:bottom w:val="single" w:color="auto" w:sz="4" w:space="0"/>
              <w:right w:val="single" w:color="auto" w:sz="4" w:space="0"/>
            </w:tcBorders>
          </w:tcPr>
          <w:p w14:paraId="591AA1DD">
            <w:pPr>
              <w:suppressAutoHyphens/>
              <w:spacing w:line="256" w:lineRule="auto"/>
              <w:rPr>
                <w:rFonts w:ascii="CG Times (WN)" w:hAnsi="CG Times (WN)" w:eastAsia="PMingLiU" w:cs="Arial"/>
                <w:b/>
                <w:lang w:eastAsia="zh-TW"/>
              </w:rPr>
            </w:pPr>
            <w:r>
              <w:rPr>
                <w:rFonts w:ascii="CG Times (WN)" w:hAnsi="CG Times (WN)" w:eastAsia="PMingLiU" w:cs="Arial"/>
                <w:b/>
                <w:lang w:eastAsia="zh-TW"/>
              </w:rPr>
              <w:t xml:space="preserve">Total transition time </w:t>
            </w:r>
          </w:p>
        </w:tc>
      </w:tr>
      <w:tr w14:paraId="7060059C">
        <w:trPr>
          <w:trHeight w:val="20" w:hRule="atLeast"/>
        </w:trPr>
        <w:tc>
          <w:tcPr>
            <w:tcW w:w="1872" w:type="dxa"/>
            <w:tcBorders>
              <w:top w:val="single" w:color="auto" w:sz="4" w:space="0"/>
              <w:left w:val="single" w:color="auto" w:sz="4" w:space="0"/>
              <w:bottom w:val="single" w:color="auto" w:sz="4" w:space="0"/>
              <w:right w:val="single" w:color="auto" w:sz="4" w:space="0"/>
            </w:tcBorders>
          </w:tcPr>
          <w:p w14:paraId="08B59951">
            <w:pPr>
              <w:suppressAutoHyphens/>
              <w:spacing w:line="256" w:lineRule="auto"/>
              <w:rPr>
                <w:rFonts w:ascii="CG Times (WN)" w:hAnsi="CG Times (WN)" w:eastAsia="PMingLiU" w:cs="Arial"/>
                <w:lang w:eastAsia="zh-TW"/>
              </w:rPr>
            </w:pPr>
            <w:r>
              <w:rPr>
                <w:rFonts w:ascii="CG Times (WN)" w:hAnsi="CG Times (WN)" w:eastAsia="PMingLiU" w:cs="Arial"/>
                <w:lang w:eastAsia="zh-TW"/>
              </w:rPr>
              <w:t>Ultra deep sleep 1</w:t>
            </w:r>
          </w:p>
        </w:tc>
        <w:tc>
          <w:tcPr>
            <w:tcW w:w="1384" w:type="dxa"/>
            <w:tcBorders>
              <w:top w:val="single" w:color="auto" w:sz="4" w:space="0"/>
              <w:left w:val="single" w:color="auto" w:sz="4" w:space="0"/>
              <w:bottom w:val="single" w:color="auto" w:sz="4" w:space="0"/>
              <w:right w:val="single" w:color="auto" w:sz="4" w:space="0"/>
            </w:tcBorders>
          </w:tcPr>
          <w:p w14:paraId="2B514E28">
            <w:pPr>
              <w:suppressAutoHyphens/>
              <w:spacing w:line="256" w:lineRule="auto"/>
              <w:rPr>
                <w:rFonts w:hint="eastAsia" w:ascii="CG Times (WN)" w:hAnsi="CG Times (WN)" w:cs="Arial" w:eastAsiaTheme="minorEastAsia"/>
                <w:lang w:eastAsia="zh-CN"/>
              </w:rPr>
            </w:pPr>
            <w:r>
              <w:rPr>
                <w:rFonts w:hint="eastAsia" w:ascii="CG Times (WN)" w:hAnsi="CG Times (WN)" w:cs="Arial" w:eastAsiaTheme="minorEastAsia"/>
                <w:lang w:eastAsia="zh-CN"/>
              </w:rPr>
              <w:t>0</w:t>
            </w:r>
            <w:r>
              <w:rPr>
                <w:rFonts w:ascii="CG Times (WN)" w:hAnsi="CG Times (WN)" w:cs="Arial" w:eastAsiaTheme="minorEastAsia"/>
                <w:lang w:eastAsia="zh-CN"/>
              </w:rPr>
              <w:t>.1</w:t>
            </w:r>
          </w:p>
        </w:tc>
        <w:tc>
          <w:tcPr>
            <w:tcW w:w="2976" w:type="dxa"/>
            <w:tcBorders>
              <w:top w:val="single" w:color="auto" w:sz="4" w:space="0"/>
              <w:left w:val="single" w:color="auto" w:sz="4" w:space="0"/>
              <w:bottom w:val="single" w:color="auto" w:sz="4" w:space="0"/>
              <w:right w:val="single" w:color="auto" w:sz="4" w:space="0"/>
            </w:tcBorders>
          </w:tcPr>
          <w:p w14:paraId="5CF91F5B">
            <w:pPr>
              <w:suppressAutoHyphens/>
              <w:spacing w:line="256" w:lineRule="auto"/>
              <w:rPr>
                <w:rFonts w:ascii="CG Times (WN)" w:hAnsi="CG Times (WN)" w:eastAsia="PMingLiU" w:cs="Arial"/>
                <w:lang w:eastAsia="zh-TW"/>
              </w:rPr>
            </w:pPr>
            <w:r>
              <w:rPr>
                <w:rFonts w:ascii="CG Times (WN)" w:hAnsi="CG Times (WN)" w:eastAsia="PMingLiU" w:cs="Arial"/>
                <w:lang w:eastAsia="zh-TW"/>
              </w:rPr>
              <w:t>15000</w:t>
            </w:r>
          </w:p>
        </w:tc>
        <w:tc>
          <w:tcPr>
            <w:tcW w:w="3261" w:type="dxa"/>
            <w:tcBorders>
              <w:top w:val="single" w:color="auto" w:sz="4" w:space="0"/>
              <w:left w:val="single" w:color="auto" w:sz="4" w:space="0"/>
              <w:bottom w:val="single" w:color="auto" w:sz="4" w:space="0"/>
              <w:right w:val="single" w:color="auto" w:sz="4" w:space="0"/>
            </w:tcBorders>
          </w:tcPr>
          <w:p w14:paraId="51150FB0">
            <w:pPr>
              <w:suppressAutoHyphens/>
              <w:spacing w:line="256" w:lineRule="auto"/>
              <w:rPr>
                <w:rFonts w:ascii="CG Times (WN)" w:hAnsi="CG Times (WN)" w:eastAsia="PMingLiU" w:cs="Arial"/>
                <w:lang w:eastAsia="zh-TW"/>
              </w:rPr>
            </w:pPr>
            <w:r>
              <w:rPr>
                <w:rFonts w:ascii="CG Times (WN)" w:hAnsi="CG Times (WN)" w:eastAsia="PMingLiU" w:cs="Arial"/>
                <w:lang w:eastAsia="zh-TW"/>
              </w:rPr>
              <w:t>400 ms</w:t>
            </w:r>
          </w:p>
        </w:tc>
      </w:tr>
      <w:tr w14:paraId="41A214E4">
        <w:trPr>
          <w:trHeight w:val="20" w:hRule="atLeast"/>
        </w:trPr>
        <w:tc>
          <w:tcPr>
            <w:tcW w:w="1872" w:type="dxa"/>
            <w:tcBorders>
              <w:top w:val="single" w:color="auto" w:sz="4" w:space="0"/>
              <w:left w:val="single" w:color="auto" w:sz="4" w:space="0"/>
              <w:bottom w:val="single" w:color="auto" w:sz="4" w:space="0"/>
              <w:right w:val="single" w:color="auto" w:sz="4" w:space="0"/>
            </w:tcBorders>
          </w:tcPr>
          <w:p w14:paraId="693B4FE7">
            <w:pPr>
              <w:suppressAutoHyphens/>
              <w:spacing w:line="256" w:lineRule="auto"/>
              <w:rPr>
                <w:rFonts w:ascii="CG Times (WN)" w:hAnsi="CG Times (WN)" w:eastAsia="PMingLiU" w:cs="Arial"/>
                <w:lang w:eastAsia="zh-TW"/>
              </w:rPr>
            </w:pPr>
            <w:r>
              <w:rPr>
                <w:rFonts w:ascii="CG Times (WN)" w:hAnsi="CG Times (WN)" w:eastAsia="PMingLiU" w:cs="Arial"/>
                <w:lang w:eastAsia="zh-TW"/>
              </w:rPr>
              <w:t>Ultra deep sleep 2</w:t>
            </w:r>
          </w:p>
        </w:tc>
        <w:tc>
          <w:tcPr>
            <w:tcW w:w="1384" w:type="dxa"/>
            <w:tcBorders>
              <w:top w:val="single" w:color="auto" w:sz="4" w:space="0"/>
              <w:left w:val="single" w:color="auto" w:sz="4" w:space="0"/>
              <w:bottom w:val="single" w:color="auto" w:sz="4" w:space="0"/>
              <w:right w:val="single" w:color="auto" w:sz="4" w:space="0"/>
            </w:tcBorders>
          </w:tcPr>
          <w:p w14:paraId="7E77C4A5">
            <w:pPr>
              <w:suppressAutoHyphens/>
              <w:spacing w:line="256" w:lineRule="auto"/>
              <w:rPr>
                <w:rFonts w:hint="eastAsia" w:ascii="CG Times (WN)" w:hAnsi="CG Times (WN)" w:cs="Arial" w:eastAsiaTheme="minorEastAsia"/>
                <w:lang w:eastAsia="zh-CN"/>
              </w:rPr>
            </w:pPr>
            <w:r>
              <w:rPr>
                <w:rFonts w:hint="eastAsia" w:ascii="CG Times (WN)" w:hAnsi="CG Times (WN)" w:cs="Arial" w:eastAsiaTheme="minorEastAsia"/>
                <w:lang w:eastAsia="zh-CN"/>
              </w:rPr>
              <w:t>0</w:t>
            </w:r>
            <w:r>
              <w:rPr>
                <w:rFonts w:ascii="CG Times (WN)" w:hAnsi="CG Times (WN)" w:cs="Arial" w:eastAsiaTheme="minorEastAsia"/>
                <w:lang w:eastAsia="zh-CN"/>
              </w:rPr>
              <w:t>.015</w:t>
            </w:r>
          </w:p>
        </w:tc>
        <w:tc>
          <w:tcPr>
            <w:tcW w:w="2976" w:type="dxa"/>
            <w:tcBorders>
              <w:top w:val="single" w:color="auto" w:sz="4" w:space="0"/>
              <w:left w:val="single" w:color="auto" w:sz="4" w:space="0"/>
              <w:bottom w:val="single" w:color="auto" w:sz="4" w:space="0"/>
              <w:right w:val="single" w:color="auto" w:sz="4" w:space="0"/>
            </w:tcBorders>
          </w:tcPr>
          <w:p w14:paraId="7AA02802">
            <w:pPr>
              <w:suppressAutoHyphens/>
              <w:spacing w:line="256" w:lineRule="auto"/>
              <w:rPr>
                <w:rFonts w:ascii="CG Times (WN)" w:hAnsi="CG Times (WN)" w:eastAsia="PMingLiU" w:cs="Arial"/>
                <w:lang w:eastAsia="zh-TW"/>
              </w:rPr>
            </w:pPr>
            <w:r>
              <w:rPr>
                <w:rFonts w:ascii="CG Times (WN)" w:hAnsi="CG Times (WN)" w:eastAsia="PMingLiU" w:cs="Arial"/>
                <w:lang w:eastAsia="zh-TW"/>
              </w:rPr>
              <w:t>40000</w:t>
            </w:r>
          </w:p>
        </w:tc>
        <w:tc>
          <w:tcPr>
            <w:tcW w:w="3261" w:type="dxa"/>
            <w:tcBorders>
              <w:top w:val="single" w:color="auto" w:sz="4" w:space="0"/>
              <w:left w:val="single" w:color="auto" w:sz="4" w:space="0"/>
              <w:bottom w:val="single" w:color="auto" w:sz="4" w:space="0"/>
              <w:right w:val="single" w:color="auto" w:sz="4" w:space="0"/>
            </w:tcBorders>
          </w:tcPr>
          <w:p w14:paraId="18E70D54">
            <w:pPr>
              <w:suppressAutoHyphens/>
              <w:spacing w:line="256" w:lineRule="auto"/>
              <w:rPr>
                <w:rFonts w:ascii="CG Times (WN)" w:hAnsi="CG Times (WN)" w:eastAsia="PMingLiU" w:cs="Arial"/>
                <w:lang w:eastAsia="zh-TW"/>
              </w:rPr>
            </w:pPr>
            <w:r>
              <w:rPr>
                <w:rFonts w:ascii="CG Times (WN)" w:hAnsi="CG Times (WN)" w:eastAsia="PMingLiU" w:cs="Arial"/>
                <w:lang w:eastAsia="zh-TW"/>
              </w:rPr>
              <w:t>800 ms</w:t>
            </w:r>
          </w:p>
        </w:tc>
      </w:tr>
      <w:tr w14:paraId="3D60A749">
        <w:trPr>
          <w:trHeight w:val="20" w:hRule="atLeast"/>
        </w:trPr>
        <w:tc>
          <w:tcPr>
            <w:tcW w:w="1872" w:type="dxa"/>
            <w:tcBorders>
              <w:top w:val="single" w:color="auto" w:sz="4" w:space="0"/>
              <w:left w:val="single" w:color="auto" w:sz="4" w:space="0"/>
              <w:bottom w:val="single" w:color="auto" w:sz="4" w:space="0"/>
              <w:right w:val="single" w:color="auto" w:sz="4" w:space="0"/>
            </w:tcBorders>
          </w:tcPr>
          <w:p w14:paraId="5A6F8C0C">
            <w:pPr>
              <w:suppressAutoHyphens/>
              <w:spacing w:line="256" w:lineRule="auto"/>
              <w:rPr>
                <w:rFonts w:ascii="CG Times (WN)" w:hAnsi="CG Times (WN)" w:eastAsia="PMingLiU" w:cs="Arial"/>
                <w:lang w:eastAsia="zh-TW"/>
              </w:rPr>
            </w:pPr>
            <w:r>
              <w:rPr>
                <w:rFonts w:ascii="CG Times (WN)" w:hAnsi="CG Times (WN)" w:eastAsia="PMingLiU" w:cs="Arial"/>
                <w:lang w:eastAsia="zh-TW"/>
              </w:rPr>
              <w:t xml:space="preserve">Deep sleep </w:t>
            </w:r>
          </w:p>
        </w:tc>
        <w:tc>
          <w:tcPr>
            <w:tcW w:w="1384" w:type="dxa"/>
            <w:tcBorders>
              <w:top w:val="single" w:color="auto" w:sz="4" w:space="0"/>
              <w:left w:val="single" w:color="auto" w:sz="4" w:space="0"/>
              <w:bottom w:val="single" w:color="auto" w:sz="4" w:space="0"/>
              <w:right w:val="single" w:color="auto" w:sz="4" w:space="0"/>
            </w:tcBorders>
          </w:tcPr>
          <w:p w14:paraId="73D6E8FB">
            <w:pPr>
              <w:suppressAutoHyphens/>
              <w:spacing w:line="256" w:lineRule="auto"/>
              <w:rPr>
                <w:rFonts w:hint="eastAsia" w:ascii="CG Times (WN)" w:hAnsi="CG Times (WN)" w:cs="Arial" w:eastAsiaTheme="minorEastAsia"/>
                <w:lang w:eastAsia="zh-CN"/>
              </w:rPr>
            </w:pPr>
            <w:r>
              <w:rPr>
                <w:rFonts w:hint="eastAsia" w:ascii="CG Times (WN)" w:hAnsi="CG Times (WN)" w:cs="Arial" w:eastAsiaTheme="minorEastAsia"/>
                <w:lang w:eastAsia="zh-CN"/>
              </w:rPr>
              <w:t>1</w:t>
            </w:r>
          </w:p>
        </w:tc>
        <w:tc>
          <w:tcPr>
            <w:tcW w:w="2976" w:type="dxa"/>
            <w:tcBorders>
              <w:top w:val="single" w:color="auto" w:sz="4" w:space="0"/>
              <w:left w:val="single" w:color="auto" w:sz="4" w:space="0"/>
              <w:bottom w:val="single" w:color="auto" w:sz="4" w:space="0"/>
              <w:right w:val="single" w:color="auto" w:sz="4" w:space="0"/>
            </w:tcBorders>
          </w:tcPr>
          <w:p w14:paraId="5748EEC2">
            <w:pPr>
              <w:suppressAutoHyphens/>
              <w:spacing w:line="256" w:lineRule="auto"/>
              <w:rPr>
                <w:rFonts w:ascii="CG Times (WN)" w:hAnsi="CG Times (WN)" w:eastAsia="PMingLiU" w:cs="Arial"/>
                <w:lang w:eastAsia="zh-TW"/>
              </w:rPr>
            </w:pPr>
            <w:r>
              <w:rPr>
                <w:rFonts w:ascii="CG Times (WN)" w:hAnsi="CG Times (WN)" w:eastAsia="PMingLiU" w:cs="Arial"/>
                <w:lang w:eastAsia="zh-TW"/>
              </w:rPr>
              <w:t xml:space="preserve">450 </w:t>
            </w:r>
          </w:p>
        </w:tc>
        <w:tc>
          <w:tcPr>
            <w:tcW w:w="3261" w:type="dxa"/>
            <w:tcBorders>
              <w:top w:val="single" w:color="auto" w:sz="4" w:space="0"/>
              <w:left w:val="single" w:color="auto" w:sz="4" w:space="0"/>
              <w:bottom w:val="single" w:color="auto" w:sz="4" w:space="0"/>
              <w:right w:val="single" w:color="auto" w:sz="4" w:space="0"/>
            </w:tcBorders>
          </w:tcPr>
          <w:p w14:paraId="2ADFDD0D">
            <w:pPr>
              <w:suppressAutoHyphens/>
              <w:spacing w:line="256" w:lineRule="auto"/>
              <w:rPr>
                <w:rFonts w:ascii="CG Times (WN)" w:hAnsi="CG Times (WN)" w:eastAsia="PMingLiU" w:cs="Arial"/>
                <w:lang w:eastAsia="zh-TW"/>
              </w:rPr>
            </w:pPr>
            <w:r>
              <w:rPr>
                <w:rFonts w:ascii="CG Times (WN)" w:hAnsi="CG Times (WN)" w:eastAsia="PMingLiU" w:cs="Arial"/>
                <w:lang w:eastAsia="zh-TW"/>
              </w:rPr>
              <w:t xml:space="preserve">20 ms </w:t>
            </w:r>
          </w:p>
        </w:tc>
      </w:tr>
      <w:tr w14:paraId="54A973F8">
        <w:trPr>
          <w:trHeight w:val="20" w:hRule="atLeast"/>
        </w:trPr>
        <w:tc>
          <w:tcPr>
            <w:tcW w:w="1872" w:type="dxa"/>
            <w:tcBorders>
              <w:top w:val="single" w:color="auto" w:sz="4" w:space="0"/>
              <w:left w:val="single" w:color="auto" w:sz="4" w:space="0"/>
              <w:bottom w:val="single" w:color="auto" w:sz="4" w:space="0"/>
              <w:right w:val="single" w:color="auto" w:sz="4" w:space="0"/>
            </w:tcBorders>
          </w:tcPr>
          <w:p w14:paraId="02C44787">
            <w:pPr>
              <w:suppressAutoHyphens/>
              <w:spacing w:line="256" w:lineRule="auto"/>
              <w:rPr>
                <w:rFonts w:ascii="CG Times (WN)" w:hAnsi="CG Times (WN)" w:eastAsia="PMingLiU" w:cs="Arial"/>
                <w:lang w:eastAsia="zh-TW"/>
              </w:rPr>
            </w:pPr>
            <w:r>
              <w:rPr>
                <w:rFonts w:ascii="CG Times (WN)" w:hAnsi="CG Times (WN)" w:eastAsia="PMingLiU" w:cs="Arial"/>
                <w:lang w:eastAsia="zh-TW"/>
              </w:rPr>
              <w:t xml:space="preserve">Light sleep </w:t>
            </w:r>
          </w:p>
        </w:tc>
        <w:tc>
          <w:tcPr>
            <w:tcW w:w="1384" w:type="dxa"/>
            <w:tcBorders>
              <w:top w:val="single" w:color="auto" w:sz="4" w:space="0"/>
              <w:left w:val="single" w:color="auto" w:sz="4" w:space="0"/>
              <w:bottom w:val="single" w:color="auto" w:sz="4" w:space="0"/>
              <w:right w:val="single" w:color="auto" w:sz="4" w:space="0"/>
            </w:tcBorders>
          </w:tcPr>
          <w:p w14:paraId="778B6BBE">
            <w:pPr>
              <w:suppressAutoHyphens/>
              <w:spacing w:line="256" w:lineRule="auto"/>
              <w:rPr>
                <w:rFonts w:hint="eastAsia" w:ascii="CG Times (WN)" w:hAnsi="CG Times (WN)" w:cs="Arial" w:eastAsiaTheme="minorEastAsia"/>
                <w:lang w:eastAsia="zh-CN"/>
              </w:rPr>
            </w:pPr>
            <w:r>
              <w:rPr>
                <w:rFonts w:hint="eastAsia" w:ascii="CG Times (WN)" w:hAnsi="CG Times (WN)" w:cs="Arial" w:eastAsiaTheme="minorEastAsia"/>
                <w:lang w:eastAsia="zh-CN"/>
              </w:rPr>
              <w:t>2</w:t>
            </w:r>
            <w:r>
              <w:rPr>
                <w:rFonts w:ascii="CG Times (WN)" w:hAnsi="CG Times (WN)" w:cs="Arial" w:eastAsiaTheme="minorEastAsia"/>
                <w:lang w:eastAsia="zh-CN"/>
              </w:rPr>
              <w:t>0</w:t>
            </w:r>
          </w:p>
        </w:tc>
        <w:tc>
          <w:tcPr>
            <w:tcW w:w="2976" w:type="dxa"/>
            <w:tcBorders>
              <w:top w:val="single" w:color="auto" w:sz="4" w:space="0"/>
              <w:left w:val="single" w:color="auto" w:sz="4" w:space="0"/>
              <w:bottom w:val="single" w:color="auto" w:sz="4" w:space="0"/>
              <w:right w:val="single" w:color="auto" w:sz="4" w:space="0"/>
            </w:tcBorders>
          </w:tcPr>
          <w:p w14:paraId="315BD723">
            <w:pPr>
              <w:suppressAutoHyphens/>
              <w:spacing w:line="256" w:lineRule="auto"/>
              <w:rPr>
                <w:rFonts w:ascii="CG Times (WN)" w:hAnsi="CG Times (WN)" w:eastAsia="PMingLiU" w:cs="Arial"/>
                <w:lang w:eastAsia="zh-TW"/>
              </w:rPr>
            </w:pPr>
            <w:r>
              <w:rPr>
                <w:rFonts w:ascii="CG Times (WN)" w:hAnsi="CG Times (WN)" w:eastAsia="PMingLiU" w:cs="Arial"/>
                <w:lang w:eastAsia="zh-TW"/>
              </w:rPr>
              <w:t xml:space="preserve">100 </w:t>
            </w:r>
          </w:p>
        </w:tc>
        <w:tc>
          <w:tcPr>
            <w:tcW w:w="3261" w:type="dxa"/>
            <w:tcBorders>
              <w:top w:val="single" w:color="auto" w:sz="4" w:space="0"/>
              <w:left w:val="single" w:color="auto" w:sz="4" w:space="0"/>
              <w:bottom w:val="single" w:color="auto" w:sz="4" w:space="0"/>
              <w:right w:val="single" w:color="auto" w:sz="4" w:space="0"/>
            </w:tcBorders>
          </w:tcPr>
          <w:p w14:paraId="56590B77">
            <w:pPr>
              <w:suppressAutoHyphens/>
              <w:spacing w:line="256" w:lineRule="auto"/>
              <w:rPr>
                <w:rFonts w:ascii="CG Times (WN)" w:hAnsi="CG Times (WN)" w:eastAsia="PMingLiU" w:cs="Arial"/>
                <w:lang w:eastAsia="zh-TW"/>
              </w:rPr>
            </w:pPr>
            <w:r>
              <w:rPr>
                <w:rFonts w:ascii="CG Times (WN)" w:hAnsi="CG Times (WN)" w:eastAsia="PMingLiU" w:cs="Arial"/>
                <w:lang w:eastAsia="zh-TW"/>
              </w:rPr>
              <w:t xml:space="preserve">6 ms </w:t>
            </w:r>
          </w:p>
        </w:tc>
      </w:tr>
      <w:tr w14:paraId="49B7CFCF">
        <w:trPr>
          <w:trHeight w:val="20" w:hRule="atLeast"/>
        </w:trPr>
        <w:tc>
          <w:tcPr>
            <w:tcW w:w="1872" w:type="dxa"/>
            <w:tcBorders>
              <w:top w:val="single" w:color="auto" w:sz="4" w:space="0"/>
              <w:left w:val="single" w:color="auto" w:sz="4" w:space="0"/>
              <w:bottom w:val="single" w:color="auto" w:sz="4" w:space="0"/>
              <w:right w:val="single" w:color="auto" w:sz="4" w:space="0"/>
            </w:tcBorders>
          </w:tcPr>
          <w:p w14:paraId="0700975D">
            <w:pPr>
              <w:suppressAutoHyphens/>
              <w:spacing w:line="256" w:lineRule="auto"/>
              <w:rPr>
                <w:rFonts w:ascii="CG Times (WN)" w:hAnsi="CG Times (WN)" w:eastAsia="PMingLiU" w:cs="Arial"/>
                <w:lang w:eastAsia="zh-TW"/>
              </w:rPr>
            </w:pPr>
            <w:r>
              <w:rPr>
                <w:rFonts w:ascii="CG Times (WN)" w:hAnsi="CG Times (WN)" w:eastAsia="PMingLiU" w:cs="Arial"/>
                <w:lang w:eastAsia="zh-TW"/>
              </w:rPr>
              <w:t xml:space="preserve">Micro sleep </w:t>
            </w:r>
          </w:p>
        </w:tc>
        <w:tc>
          <w:tcPr>
            <w:tcW w:w="1384" w:type="dxa"/>
            <w:tcBorders>
              <w:top w:val="single" w:color="auto" w:sz="4" w:space="0"/>
              <w:left w:val="single" w:color="auto" w:sz="4" w:space="0"/>
              <w:bottom w:val="single" w:color="auto" w:sz="4" w:space="0"/>
              <w:right w:val="single" w:color="auto" w:sz="4" w:space="0"/>
            </w:tcBorders>
          </w:tcPr>
          <w:p w14:paraId="1A4AD528">
            <w:pPr>
              <w:suppressAutoHyphens/>
              <w:spacing w:line="256" w:lineRule="auto"/>
              <w:rPr>
                <w:rFonts w:hint="eastAsia" w:ascii="CG Times (WN)" w:hAnsi="CG Times (WN)" w:cs="Arial" w:eastAsiaTheme="minorEastAsia"/>
                <w:lang w:eastAsia="zh-CN"/>
              </w:rPr>
            </w:pPr>
            <w:r>
              <w:rPr>
                <w:rFonts w:hint="eastAsia" w:ascii="CG Times (WN)" w:hAnsi="CG Times (WN)" w:cs="Arial" w:eastAsiaTheme="minorEastAsia"/>
                <w:lang w:eastAsia="zh-CN"/>
              </w:rPr>
              <w:t>4</w:t>
            </w:r>
            <w:r>
              <w:rPr>
                <w:rFonts w:ascii="CG Times (WN)" w:hAnsi="CG Times (WN)" w:cs="Arial" w:eastAsiaTheme="minorEastAsia"/>
                <w:lang w:eastAsia="zh-CN"/>
              </w:rPr>
              <w:t>5</w:t>
            </w:r>
          </w:p>
        </w:tc>
        <w:tc>
          <w:tcPr>
            <w:tcW w:w="2976" w:type="dxa"/>
            <w:tcBorders>
              <w:top w:val="single" w:color="auto" w:sz="4" w:space="0"/>
              <w:left w:val="single" w:color="auto" w:sz="4" w:space="0"/>
              <w:bottom w:val="single" w:color="auto" w:sz="4" w:space="0"/>
              <w:right w:val="single" w:color="auto" w:sz="4" w:space="0"/>
            </w:tcBorders>
          </w:tcPr>
          <w:p w14:paraId="7E856008">
            <w:pPr>
              <w:suppressAutoHyphens/>
              <w:spacing w:line="256" w:lineRule="auto"/>
              <w:rPr>
                <w:rFonts w:ascii="CG Times (WN)" w:hAnsi="CG Times (WN)" w:eastAsia="PMingLiU" w:cs="Arial"/>
                <w:lang w:eastAsia="zh-TW"/>
              </w:rPr>
            </w:pPr>
            <w:r>
              <w:rPr>
                <w:rFonts w:ascii="CG Times (WN)" w:hAnsi="CG Times (WN)" w:eastAsia="PMingLiU" w:cs="Arial"/>
                <w:lang w:eastAsia="zh-TW"/>
              </w:rPr>
              <w:t xml:space="preserve">0 </w:t>
            </w:r>
          </w:p>
        </w:tc>
        <w:tc>
          <w:tcPr>
            <w:tcW w:w="3261" w:type="dxa"/>
            <w:tcBorders>
              <w:top w:val="single" w:color="auto" w:sz="4" w:space="0"/>
              <w:left w:val="single" w:color="auto" w:sz="4" w:space="0"/>
              <w:bottom w:val="single" w:color="auto" w:sz="4" w:space="0"/>
              <w:right w:val="single" w:color="auto" w:sz="4" w:space="0"/>
            </w:tcBorders>
          </w:tcPr>
          <w:p w14:paraId="04FABDF9">
            <w:pPr>
              <w:suppressAutoHyphens/>
              <w:spacing w:line="256" w:lineRule="auto"/>
              <w:rPr>
                <w:rFonts w:ascii="CG Times (WN)" w:hAnsi="CG Times (WN)" w:eastAsia="PMingLiU" w:cs="Arial"/>
                <w:lang w:eastAsia="zh-TW"/>
              </w:rPr>
            </w:pPr>
            <w:r>
              <w:rPr>
                <w:rFonts w:ascii="CG Times (WN)" w:hAnsi="CG Times (WN)" w:eastAsia="PMingLiU" w:cs="Arial"/>
                <w:lang w:eastAsia="zh-TW"/>
              </w:rPr>
              <w:t xml:space="preserve">0 ms* </w:t>
            </w:r>
          </w:p>
        </w:tc>
      </w:tr>
      <w:tr w14:paraId="0A952730">
        <w:trPr>
          <w:trHeight w:val="20" w:hRule="atLeast"/>
        </w:trPr>
        <w:tc>
          <w:tcPr>
            <w:tcW w:w="9493" w:type="dxa"/>
            <w:gridSpan w:val="4"/>
            <w:tcBorders>
              <w:top w:val="single" w:color="auto" w:sz="4" w:space="0"/>
              <w:left w:val="single" w:color="auto" w:sz="4" w:space="0"/>
              <w:bottom w:val="single" w:color="auto" w:sz="4" w:space="0"/>
              <w:right w:val="single" w:color="auto" w:sz="4" w:space="0"/>
            </w:tcBorders>
          </w:tcPr>
          <w:p w14:paraId="4391A1E5">
            <w:pPr>
              <w:suppressAutoHyphens/>
              <w:spacing w:line="256" w:lineRule="auto"/>
              <w:rPr>
                <w:rFonts w:ascii="CG Times (WN)" w:hAnsi="CG Times (WN)" w:eastAsia="PMingLiU" w:cs="Arial"/>
                <w:lang w:eastAsia="zh-TW"/>
              </w:rPr>
            </w:pPr>
            <w:r>
              <w:rPr>
                <w:rFonts w:ascii="CG Times (WN)" w:hAnsi="CG Times (WN)" w:eastAsia="PMingLiU" w:cs="Arial"/>
                <w:lang w:eastAsia="zh-TW"/>
              </w:rPr>
              <w:t>*</w:t>
            </w:r>
            <w:r>
              <w:rPr>
                <w:rFonts w:ascii="CG Times (WN)" w:hAnsi="CG Times (WN)" w:eastAsia="PMingLiU" w:cs="Arial"/>
                <w:lang w:eastAsia="zh-TW"/>
              </w:rPr>
              <w:tab/>
            </w:r>
            <w:r>
              <w:rPr>
                <w:rFonts w:ascii="CG Times (WN)" w:hAnsi="CG Times (WN)" w:eastAsia="PMingLiU" w:cs="Arial"/>
                <w:lang w:eastAsia="zh-TW"/>
              </w:rPr>
              <w:t>Immediate transition is assumed for power saving study purpose from or to a non-sleep state</w:t>
            </w:r>
          </w:p>
        </w:tc>
      </w:tr>
    </w:tbl>
    <w:p w14:paraId="37BD3099">
      <w:pPr>
        <w:numPr>
          <w:ilvl w:val="0"/>
          <w:numId w:val="0"/>
        </w:numPr>
        <w:outlineLvl w:val="9"/>
        <w:rPr>
          <w:rFonts w:hint="eastAsia" w:ascii="Times New Roman Bold Italic" w:hAnsi="Times New Roman Bold Italic" w:eastAsia="等线" w:cs="Times New Roman Bold Italic"/>
          <w:b/>
          <w:bCs/>
          <w:i/>
          <w:iCs/>
          <w:highlight w:val="yellow"/>
          <w:u w:val="single"/>
          <w:lang w:val="en-US" w:eastAsia="zh-CN"/>
        </w:rPr>
      </w:pPr>
    </w:p>
    <w:p w14:paraId="26DB80B6">
      <w:pPr>
        <w:rPr>
          <w:rFonts w:ascii="Times New Roman Bold Italic" w:hAnsi="Times New Roman Bold Italic" w:cs="Times New Roman Bold Italic"/>
          <w:b/>
          <w:bCs/>
          <w:i/>
          <w:iCs/>
          <w:lang w:eastAsia="zh-CN"/>
        </w:rPr>
      </w:pPr>
    </w:p>
    <w:p w14:paraId="36EF473B">
      <w:pPr>
        <w:outlineLvl w:val="1"/>
        <w:rPr>
          <w:rFonts w:ascii="Times New Roman Bold Italic" w:hAnsi="Times New Roman Bold Italic" w:cs="Times New Roman Bold Italic"/>
          <w:b/>
          <w:bCs/>
          <w:i/>
          <w:iCs/>
          <w:szCs w:val="24"/>
          <w:highlight w:val="yellow"/>
          <w:u w:val="single"/>
          <w:lang w:eastAsia="zh-CN"/>
        </w:rPr>
      </w:pPr>
      <w:r>
        <w:rPr>
          <w:rFonts w:hint="default" w:ascii="Times New Roman Bold Italic" w:hAnsi="Times New Roman Bold Italic" w:cs="Times New Roman Bold Italic"/>
          <w:b/>
          <w:bCs/>
          <w:i/>
          <w:iCs/>
          <w:szCs w:val="24"/>
          <w:highlight w:val="yellow"/>
          <w:u w:val="single"/>
          <w:lang w:val="en-US" w:eastAsia="zh-CN"/>
        </w:rPr>
        <w:t xml:space="preserve">Cell level related </w:t>
      </w:r>
      <w:r>
        <w:rPr>
          <w:rFonts w:ascii="Times New Roman Bold Italic" w:hAnsi="Times New Roman Bold Italic" w:cs="Times New Roman Bold Italic"/>
          <w:b/>
          <w:bCs/>
          <w:i/>
          <w:iCs/>
          <w:szCs w:val="24"/>
          <w:highlight w:val="yellow"/>
          <w:u w:val="single"/>
          <w:lang w:eastAsia="zh-CN"/>
        </w:rPr>
        <w:t>6G</w:t>
      </w:r>
      <w:r>
        <w:rPr>
          <w:rFonts w:hint="eastAsia" w:ascii="Times New Roman Bold Italic" w:hAnsi="Times New Roman Bold Italic" w:cs="Times New Roman Bold Italic"/>
          <w:b/>
          <w:bCs/>
          <w:i/>
          <w:iCs/>
          <w:szCs w:val="24"/>
          <w:highlight w:val="yellow"/>
          <w:u w:val="single"/>
          <w:lang w:eastAsia="zh-CN"/>
        </w:rPr>
        <w:t>R</w:t>
      </w:r>
      <w:r>
        <w:rPr>
          <w:rFonts w:ascii="Times New Roman Bold Italic" w:hAnsi="Times New Roman Bold Italic" w:cs="Times New Roman Bold Italic"/>
          <w:b/>
          <w:bCs/>
          <w:i/>
          <w:iCs/>
          <w:szCs w:val="24"/>
          <w:highlight w:val="yellow"/>
          <w:u w:val="single"/>
          <w:lang w:eastAsia="zh-CN"/>
        </w:rPr>
        <w:t xml:space="preserve"> energy efficiency considerations</w:t>
      </w:r>
    </w:p>
    <w:p w14:paraId="11AC253C">
      <w:pPr>
        <w:rPr>
          <w:rFonts w:hint="default" w:ascii="Times New Roman Bold Italic" w:hAnsi="Times New Roman Bold Italic" w:cs="Times New Roman Bold Italic"/>
          <w:b/>
          <w:bCs/>
          <w:i/>
          <w:iCs/>
          <w:lang w:eastAsia="zh-CN"/>
        </w:rPr>
      </w:pPr>
      <w:r>
        <w:rPr>
          <w:rFonts w:hint="default"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val="en-US" w:eastAsia="zh-CN"/>
        </w:rPr>
        <w:t>18</w:t>
      </w:r>
      <w:r>
        <w:rPr>
          <w:rFonts w:hint="default" w:ascii="Times New Roman Bold Italic" w:hAnsi="Times New Roman Bold Italic" w:cs="Times New Roman Bold Italic"/>
          <w:b/>
          <w:bCs/>
          <w:i/>
          <w:iCs/>
          <w:lang w:eastAsia="zh-CN"/>
        </w:rPr>
        <w:t>: For UEs in idle mode, such on-demand transmission introduces challenges for initial access, including:</w:t>
      </w:r>
    </w:p>
    <w:p w14:paraId="03D0C289">
      <w:pPr>
        <w:pStyle w:val="51"/>
        <w:numPr>
          <w:ilvl w:val="0"/>
          <w:numId w:val="24"/>
        </w:numPr>
        <w:rPr>
          <w:rFonts w:hint="default" w:ascii="Times New Roman Bold Italic" w:hAnsi="Times New Roman Bold Italic" w:cs="Times New Roman Bold Italic"/>
          <w:b/>
          <w:bCs/>
          <w:i/>
          <w:iCs/>
          <w:sz w:val="22"/>
          <w:szCs w:val="22"/>
          <w:lang w:eastAsia="zh-CN"/>
        </w:rPr>
      </w:pPr>
      <w:r>
        <w:rPr>
          <w:rFonts w:hint="default" w:ascii="Times New Roman Bold Italic" w:hAnsi="Times New Roman Bold Italic" w:cs="Times New Roman Bold Italic"/>
          <w:b/>
          <w:bCs/>
          <w:i/>
          <w:iCs/>
          <w:sz w:val="22"/>
          <w:szCs w:val="22"/>
          <w:lang w:eastAsia="zh-CN"/>
        </w:rPr>
        <w:t>How to enable UEs in idle-mode to inform the network of their need for synchronization signals</w:t>
      </w:r>
    </w:p>
    <w:p w14:paraId="060B684A">
      <w:pPr>
        <w:pStyle w:val="51"/>
        <w:numPr>
          <w:ilvl w:val="0"/>
          <w:numId w:val="24"/>
        </w:numPr>
        <w:rPr>
          <w:rFonts w:hint="default" w:ascii="Times New Roman Bold Italic" w:hAnsi="Times New Roman Bold Italic" w:cs="Times New Roman Bold Italic"/>
          <w:b/>
          <w:bCs/>
          <w:i/>
          <w:iCs/>
          <w:sz w:val="22"/>
          <w:szCs w:val="22"/>
          <w:lang w:eastAsia="zh-CN"/>
        </w:rPr>
      </w:pPr>
      <w:r>
        <w:rPr>
          <w:rFonts w:hint="default" w:ascii="Times New Roman Bold Italic" w:hAnsi="Times New Roman Bold Italic" w:cs="Times New Roman Bold Italic"/>
          <w:b/>
          <w:bCs/>
          <w:i/>
          <w:iCs/>
          <w:sz w:val="22"/>
          <w:szCs w:val="22"/>
          <w:lang w:eastAsia="zh-CN"/>
        </w:rPr>
        <w:t>How to reliably transmit the triggering signals under asynchronous conditions, such as when a UE is upon power-up, or after prolonged sleep</w:t>
      </w:r>
    </w:p>
    <w:p w14:paraId="03B898A9">
      <w:pPr>
        <w:pStyle w:val="5"/>
        <w:rPr>
          <w:rFonts w:ascii="Times New Roman Bold Italic" w:hAnsi="Times New Roman Bold Italic" w:cs="Times New Roman Bold Italic"/>
          <w:b/>
          <w:bCs/>
          <w:i/>
          <w:iCs/>
          <w:lang w:eastAsia="zh-CN"/>
        </w:rPr>
      </w:pPr>
    </w:p>
    <w:p w14:paraId="48004F86">
      <w:pPr>
        <w:rPr>
          <w:rFonts w:hint="default" w:ascii="Times New Roman Bold Italic" w:hAnsi="Times New Roman Bold Italic" w:cs="Times New Roman Bold Italic"/>
          <w:b/>
          <w:bCs/>
          <w:i/>
          <w:iCs/>
          <w:lang w:eastAsia="zh-CN"/>
        </w:rPr>
      </w:pPr>
      <w:r>
        <w:rPr>
          <w:rFonts w:hint="default"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val="en-US" w:eastAsia="zh-CN"/>
        </w:rPr>
        <w:t>19</w:t>
      </w:r>
      <w:r>
        <w:rPr>
          <w:rFonts w:hint="default" w:ascii="Times New Roman Bold Italic" w:hAnsi="Times New Roman Bold Italic" w:cs="Times New Roman Bold Italic"/>
          <w:b/>
          <w:bCs/>
          <w:i/>
          <w:iCs/>
          <w:lang w:eastAsia="zh-CN"/>
        </w:rPr>
        <w:t>: For connected mode, the existing NR on-demand SSB mechanism is restricted to SCells. However, in 6G networks, there are still UEs operating in single-carrier. When the UE on this cell is not frequently active, the base station still needs to periodically send SSB, and the UE still needs to periodically wake up to receive SSB, which brings power waste to the base station.</w:t>
      </w:r>
    </w:p>
    <w:p w14:paraId="3C45CAE1">
      <w:pPr>
        <w:pStyle w:val="5"/>
        <w:rPr>
          <w:rFonts w:ascii="Times New Roman Bold Italic" w:hAnsi="Times New Roman Bold Italic" w:cs="Times New Roman Bold Italic"/>
          <w:b/>
          <w:bCs/>
          <w:i/>
          <w:iCs/>
          <w:lang w:eastAsia="zh-CN"/>
        </w:rPr>
      </w:pPr>
    </w:p>
    <w:p w14:paraId="4C73D8FB">
      <w:pPr>
        <w:rPr>
          <w:rFonts w:hint="default" w:ascii="Times New Roman Bold Italic" w:hAnsi="Times New Roman Bold Italic" w:cs="Times New Roman Bold Italic"/>
          <w:b/>
          <w:bCs/>
          <w:i/>
          <w:iCs/>
          <w:lang w:eastAsia="zh-CN"/>
        </w:rPr>
      </w:pPr>
      <w:r>
        <w:rPr>
          <w:rFonts w:hint="default"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val="en-US" w:eastAsia="zh-CN"/>
        </w:rPr>
        <w:t>20</w:t>
      </w:r>
      <w:r>
        <w:rPr>
          <w:rFonts w:hint="default" w:ascii="Times New Roman Bold Italic" w:hAnsi="Times New Roman Bold Italic" w:cs="Times New Roman Bold Italic"/>
          <w:b/>
          <w:bCs/>
          <w:i/>
          <w:iCs/>
          <w:lang w:eastAsia="zh-CN"/>
        </w:rPr>
        <w:t xml:space="preserve">: </w:t>
      </w:r>
      <w:r>
        <w:rPr>
          <w:rFonts w:hint="default" w:ascii="Times New Roman Bold Italic" w:hAnsi="Times New Roman Bold Italic" w:cs="Times New Roman Bold Italic"/>
          <w:b/>
          <w:bCs/>
          <w:i/>
          <w:iCs/>
          <w:lang w:val="en-US" w:eastAsia="zh-CN"/>
        </w:rPr>
        <w:t>I</w:t>
      </w:r>
      <w:r>
        <w:rPr>
          <w:rFonts w:hint="default" w:ascii="Times New Roman Bold Italic" w:hAnsi="Times New Roman Bold Italic" w:cs="Times New Roman Bold Italic"/>
          <w:b/>
          <w:bCs/>
          <w:i/>
          <w:iCs/>
          <w:lang w:eastAsia="zh-CN"/>
        </w:rPr>
        <w:t>n case of multiple carrier single cell, if synchronization is performed per band in the cell, UE will consume a lot of power when receiving synchronization signals across multiple frequency bands.</w:t>
      </w:r>
    </w:p>
    <w:p w14:paraId="44776447">
      <w:pPr>
        <w:pStyle w:val="5"/>
        <w:rPr>
          <w:rFonts w:ascii="Times New Roman Bold Italic" w:hAnsi="Times New Roman Bold Italic" w:cs="Times New Roman Bold Italic"/>
          <w:b/>
          <w:bCs/>
          <w:i/>
          <w:iCs/>
          <w:lang w:eastAsia="zh-CN"/>
        </w:rPr>
      </w:pPr>
    </w:p>
    <w:p w14:paraId="64C7BEA2">
      <w:pPr>
        <w:rPr>
          <w:rFonts w:hint="default"/>
          <w:b/>
          <w:bCs/>
          <w:i/>
          <w:iCs/>
          <w:lang w:val="en-US" w:eastAsia="zh-CN"/>
        </w:rPr>
      </w:pPr>
      <w:r>
        <w:rPr>
          <w:b/>
          <w:bCs/>
          <w:i/>
          <w:iCs/>
          <w:lang w:eastAsia="zh-CN"/>
        </w:rPr>
        <w:t>O</w:t>
      </w:r>
      <w:r>
        <w:rPr>
          <w:rFonts w:hint="eastAsia"/>
          <w:b/>
          <w:bCs/>
          <w:i/>
          <w:iCs/>
          <w:lang w:eastAsia="zh-CN"/>
        </w:rPr>
        <w:t>bservation</w:t>
      </w:r>
      <w:r>
        <w:rPr>
          <w:b/>
          <w:bCs/>
          <w:i/>
          <w:iCs/>
          <w:lang w:eastAsia="zh-CN"/>
        </w:rPr>
        <w:t xml:space="preserve"> </w:t>
      </w:r>
      <w:r>
        <w:rPr>
          <w:rFonts w:hint="eastAsia"/>
          <w:b/>
          <w:bCs/>
          <w:i/>
          <w:iCs/>
          <w:lang w:val="en-US" w:eastAsia="zh-CN"/>
        </w:rPr>
        <w:t>21</w:t>
      </w:r>
      <w:r>
        <w:rPr>
          <w:rFonts w:hint="default"/>
          <w:b/>
          <w:bCs/>
          <w:i/>
          <w:iCs/>
          <w:lang w:val="en-US" w:eastAsia="zh-CN"/>
        </w:rPr>
        <w:t>: From 6G SSB structure consideration, the requirement of on-demand has been discussed in some of companies’ tdocs  in AI 11.1 or 11.5.</w:t>
      </w:r>
    </w:p>
    <w:p w14:paraId="60A3A5AA">
      <w:pPr>
        <w:pStyle w:val="5"/>
        <w:rPr>
          <w:rFonts w:ascii="Times New Roman Bold Italic" w:hAnsi="Times New Roman Bold Italic" w:cs="Times New Roman Bold Italic"/>
          <w:b/>
          <w:bCs/>
          <w:i/>
          <w:iCs/>
          <w:lang w:eastAsia="zh-CN"/>
        </w:rPr>
      </w:pPr>
    </w:p>
    <w:p w14:paraId="7963AF19">
      <w:pPr>
        <w:ind w:left="0" w:firstLine="0"/>
        <w:rPr>
          <w:rFonts w:ascii="Times New Roman Bold Italic" w:hAnsi="Times New Roman Bold Italic" w:cs="Times New Roman Bold Italic"/>
          <w:b/>
          <w:bCs/>
          <w:i/>
          <w:iCs/>
          <w:lang w:eastAsia="zh-CN"/>
        </w:rPr>
      </w:pPr>
      <w:r>
        <w:rPr>
          <w:rFonts w:hint="default" w:ascii="Times New Roman Bold Italic" w:hAnsi="Times New Roman Bold Italic" w:cs="Times New Roman Bold Italic"/>
          <w:b/>
          <w:bCs/>
          <w:i/>
          <w:iCs/>
          <w:lang w:val="en-US" w:eastAsia="zh-CN"/>
        </w:rPr>
        <w:t xml:space="preserve">Observation </w:t>
      </w:r>
      <w:r>
        <w:rPr>
          <w:rFonts w:hint="eastAsia" w:ascii="Times New Roman Bold Italic" w:hAnsi="Times New Roman Bold Italic" w:cs="Times New Roman Bold Italic"/>
          <w:b/>
          <w:bCs/>
          <w:i/>
          <w:iCs/>
          <w:lang w:val="en-US" w:eastAsia="zh-CN"/>
        </w:rPr>
        <w:t>22</w:t>
      </w:r>
      <w:r>
        <w:rPr>
          <w:rFonts w:hint="default" w:ascii="Times New Roman Bold Italic" w:hAnsi="Times New Roman Bold Italic" w:cs="Times New Roman Bold Italic"/>
          <w:b/>
          <w:bCs/>
          <w:i/>
          <w:iCs/>
          <w:lang w:val="en-US" w:eastAsia="zh-CN"/>
        </w:rPr>
        <w:t>: PRACH adaptation or on-demand PRACH (preamble or preamble group) transmissions can meet some of requirements in 6GR like energy efficiency, QoS, various device types, etc.</w:t>
      </w:r>
    </w:p>
    <w:p w14:paraId="659FDFD1">
      <w:pPr>
        <w:pStyle w:val="25"/>
        <w:keepNext w:val="0"/>
        <w:keepLines w:val="0"/>
        <w:widowControl/>
        <w:suppressLineNumbers w:val="0"/>
        <w:jc w:val="both"/>
        <w:rPr>
          <w:rFonts w:hint="default" w:ascii="Times New Roman Bold Italic" w:hAnsi="Times New Roman Bold Italic" w:eastAsia="宋体" w:cs="Times New Roman Bold Italic"/>
          <w:b/>
          <w:bCs/>
          <w:i/>
          <w:iCs/>
          <w:sz w:val="22"/>
          <w:szCs w:val="22"/>
          <w:lang w:val="en-US" w:eastAsia="zh-CN"/>
        </w:rPr>
      </w:pPr>
      <w:r>
        <w:rPr>
          <w:rFonts w:hint="default" w:ascii="Times New Roman Bold Italic" w:hAnsi="Times New Roman Bold Italic" w:eastAsia="宋体" w:cs="Times New Roman Bold Italic"/>
          <w:b/>
          <w:bCs/>
          <w:i/>
          <w:iCs/>
          <w:sz w:val="22"/>
          <w:szCs w:val="22"/>
          <w:lang w:val="en-US" w:eastAsia="zh-CN"/>
        </w:rPr>
        <w:t xml:space="preserve">Observation </w:t>
      </w:r>
      <w:r>
        <w:rPr>
          <w:rFonts w:hint="eastAsia" w:ascii="Times New Roman Bold Italic" w:hAnsi="Times New Roman Bold Italic" w:eastAsia="宋体" w:cs="Times New Roman Bold Italic"/>
          <w:b/>
          <w:bCs/>
          <w:i/>
          <w:iCs/>
          <w:sz w:val="22"/>
          <w:szCs w:val="22"/>
          <w:lang w:val="en-US" w:eastAsia="zh-CN"/>
        </w:rPr>
        <w:t>23</w:t>
      </w:r>
      <w:r>
        <w:rPr>
          <w:rFonts w:hint="default" w:ascii="Times New Roman Bold Italic" w:hAnsi="Times New Roman Bold Italic" w:eastAsia="宋体" w:cs="Times New Roman Bold Italic"/>
          <w:b/>
          <w:bCs/>
          <w:i/>
          <w:iCs/>
          <w:sz w:val="22"/>
          <w:szCs w:val="22"/>
          <w:lang w:val="en-US" w:eastAsia="zh-CN"/>
        </w:rPr>
        <w:t xml:space="preserve">: A single cluster window can accommodate multiple signaling functions with minimal overlap, minimizing the always-on burden. </w:t>
      </w:r>
    </w:p>
    <w:p w14:paraId="441FC107">
      <w:pPr>
        <w:pStyle w:val="25"/>
        <w:keepNext w:val="0"/>
        <w:keepLines w:val="0"/>
        <w:widowControl/>
        <w:suppressLineNumbers w:val="0"/>
        <w:jc w:val="both"/>
        <w:rPr>
          <w:rFonts w:hint="default" w:ascii="Times New Roman Bold Italic" w:hAnsi="Times New Roman Bold Italic" w:eastAsia="宋体" w:cs="Times New Roman Bold Italic"/>
          <w:b/>
          <w:bCs/>
          <w:i/>
          <w:iCs/>
          <w:sz w:val="22"/>
          <w:szCs w:val="22"/>
          <w:lang w:val="en-US" w:eastAsia="zh-CN"/>
        </w:rPr>
      </w:pPr>
      <w:r>
        <w:rPr>
          <w:rFonts w:hint="default" w:ascii="Times New Roman Bold Italic" w:hAnsi="Times New Roman Bold Italic" w:eastAsia="宋体" w:cs="Times New Roman Bold Italic"/>
          <w:b/>
          <w:bCs/>
          <w:i/>
          <w:iCs/>
          <w:sz w:val="22"/>
          <w:szCs w:val="22"/>
          <w:lang w:val="en-US" w:eastAsia="zh-CN"/>
        </w:rPr>
        <w:t xml:space="preserve">Observation </w:t>
      </w:r>
      <w:r>
        <w:rPr>
          <w:rFonts w:hint="eastAsia" w:ascii="Times New Roman Bold Italic" w:hAnsi="Times New Roman Bold Italic" w:eastAsia="宋体" w:cs="Times New Roman Bold Italic"/>
          <w:b/>
          <w:bCs/>
          <w:i/>
          <w:iCs/>
          <w:sz w:val="22"/>
          <w:szCs w:val="22"/>
          <w:lang w:val="en-US" w:eastAsia="zh-CN"/>
        </w:rPr>
        <w:t>24</w:t>
      </w:r>
      <w:r>
        <w:rPr>
          <w:rFonts w:hint="default" w:ascii="Times New Roman Bold Italic" w:hAnsi="Times New Roman Bold Italic" w:eastAsia="宋体" w:cs="Times New Roman Bold Italic"/>
          <w:b/>
          <w:bCs/>
          <w:i/>
          <w:iCs/>
          <w:sz w:val="22"/>
          <w:szCs w:val="22"/>
          <w:lang w:val="en-US" w:eastAsia="zh-CN"/>
        </w:rPr>
        <w:t xml:space="preserve">: </w:t>
      </w:r>
      <w:r>
        <w:rPr>
          <w:rFonts w:hint="default" w:ascii="Times New Roman Bold Italic" w:hAnsi="Times New Roman Bold Italic" w:cs="Times New Roman Bold Italic"/>
          <w:b/>
          <w:bCs/>
          <w:i/>
          <w:iCs/>
          <w:sz w:val="22"/>
          <w:szCs w:val="22"/>
        </w:rPr>
        <w:t xml:space="preserve">In low-power </w:t>
      </w:r>
      <w:r>
        <w:rPr>
          <w:rFonts w:hint="default" w:ascii="Times New Roman Bold Italic" w:hAnsi="Times New Roman Bold Italic" w:cs="Times New Roman Bold Italic"/>
          <w:b/>
          <w:bCs/>
          <w:i/>
          <w:iCs/>
          <w:sz w:val="22"/>
          <w:szCs w:val="22"/>
          <w:lang w:val="en-US"/>
        </w:rPr>
        <w:t>UEs</w:t>
      </w:r>
      <w:r>
        <w:rPr>
          <w:rFonts w:hint="default" w:ascii="Times New Roman Bold Italic" w:hAnsi="Times New Roman Bold Italic" w:cs="Times New Roman Bold Italic"/>
          <w:b/>
          <w:bCs/>
          <w:i/>
          <w:iCs/>
          <w:sz w:val="22"/>
          <w:szCs w:val="22"/>
        </w:rPr>
        <w:t xml:space="preserve">, longer DRX cycles and minimal RF activity make clustering particularly effective. For latency-sensitive UEs, hybrid </w:t>
      </w:r>
      <w:r>
        <w:rPr>
          <w:rFonts w:hint="default" w:ascii="Times New Roman Bold Italic" w:hAnsi="Times New Roman Bold Italic" w:cs="Times New Roman Bold Italic"/>
          <w:b/>
          <w:bCs/>
          <w:i/>
          <w:iCs/>
          <w:sz w:val="22"/>
          <w:szCs w:val="22"/>
          <w:lang w:val="en-US"/>
        </w:rPr>
        <w:t xml:space="preserve">clustered </w:t>
      </w:r>
      <w:r>
        <w:rPr>
          <w:rFonts w:hint="default" w:ascii="Times New Roman Bold Italic" w:hAnsi="Times New Roman Bold Italic" w:cs="Times New Roman Bold Italic"/>
          <w:b/>
          <w:bCs/>
          <w:i/>
          <w:iCs/>
          <w:sz w:val="22"/>
          <w:szCs w:val="22"/>
        </w:rPr>
        <w:t>operation is possible</w:t>
      </w:r>
      <w:r>
        <w:rPr>
          <w:rFonts w:hint="default" w:ascii="Times New Roman Bold Italic" w:hAnsi="Times New Roman Bold Italic" w:cs="Times New Roman Bold Italic"/>
          <w:b/>
          <w:bCs/>
          <w:i/>
          <w:iCs/>
          <w:sz w:val="22"/>
          <w:szCs w:val="22"/>
          <w:lang w:val="en-US"/>
        </w:rPr>
        <w:t>.</w:t>
      </w:r>
    </w:p>
    <w:p w14:paraId="32297129">
      <w:pPr>
        <w:pStyle w:val="25"/>
        <w:keepNext w:val="0"/>
        <w:keepLines w:val="0"/>
        <w:widowControl/>
        <w:suppressLineNumbers w:val="0"/>
        <w:jc w:val="both"/>
        <w:rPr>
          <w:rFonts w:hint="default" w:ascii="Times New Roman Bold Italic" w:hAnsi="Times New Roman Bold Italic" w:cs="Times New Roman Bold Italic"/>
          <w:i/>
          <w:iCs/>
          <w:sz w:val="22"/>
          <w:szCs w:val="22"/>
          <w:lang w:val="en-US"/>
        </w:rPr>
      </w:pPr>
      <w:r>
        <w:rPr>
          <w:rStyle w:val="30"/>
          <w:rFonts w:hint="default" w:ascii="Times New Roman Bold Italic" w:hAnsi="Times New Roman Bold Italic" w:cs="Times New Roman Bold Italic"/>
          <w:i/>
          <w:iCs/>
          <w:sz w:val="22"/>
          <w:szCs w:val="22"/>
        </w:rPr>
        <w:t>Observation</w:t>
      </w:r>
      <w:r>
        <w:rPr>
          <w:rStyle w:val="30"/>
          <w:rFonts w:hint="default" w:ascii="Times New Roman Bold Italic" w:hAnsi="Times New Roman Bold Italic" w:cs="Times New Roman Bold Italic"/>
          <w:i/>
          <w:iCs/>
          <w:sz w:val="22"/>
          <w:szCs w:val="22"/>
          <w:lang w:val="en-US"/>
        </w:rPr>
        <w:t xml:space="preserve"> </w:t>
      </w:r>
      <w:r>
        <w:rPr>
          <w:rStyle w:val="30"/>
          <w:rFonts w:hint="eastAsia" w:ascii="Times New Roman Bold Italic" w:hAnsi="Times New Roman Bold Italic" w:eastAsia="宋体" w:cs="Times New Roman Bold Italic"/>
          <w:i/>
          <w:iCs/>
          <w:sz w:val="22"/>
          <w:szCs w:val="22"/>
          <w:lang w:val="en-US" w:eastAsia="zh-CN"/>
        </w:rPr>
        <w:t>25</w:t>
      </w:r>
      <w:r>
        <w:rPr>
          <w:rStyle w:val="30"/>
          <w:rFonts w:hint="default" w:ascii="Times New Roman Bold Italic" w:hAnsi="Times New Roman Bold Italic" w:cs="Times New Roman Bold Italic"/>
          <w:i/>
          <w:iCs/>
          <w:sz w:val="22"/>
          <w:szCs w:val="22"/>
        </w:rPr>
        <w:t>:</w:t>
      </w:r>
      <w:r>
        <w:rPr>
          <w:rFonts w:hint="default" w:ascii="Times New Roman Bold Italic" w:hAnsi="Times New Roman Bold Italic" w:cs="Times New Roman Bold Italic"/>
          <w:i/>
          <w:iCs/>
          <w:sz w:val="22"/>
          <w:szCs w:val="22"/>
        </w:rPr>
        <w:t xml:space="preserve"> </w:t>
      </w:r>
      <w:r>
        <w:rPr>
          <w:rFonts w:hint="default" w:ascii="Times New Roman Bold Italic" w:hAnsi="Times New Roman Bold Italic" w:cs="Times New Roman Bold Italic"/>
          <w:b/>
          <w:bCs/>
          <w:i/>
          <w:iCs/>
          <w:sz w:val="22"/>
          <w:szCs w:val="22"/>
          <w:lang w:val="en-US"/>
        </w:rPr>
        <w:t>C</w:t>
      </w:r>
      <w:r>
        <w:rPr>
          <w:rFonts w:hint="default" w:ascii="Times New Roman Bold Italic" w:hAnsi="Times New Roman Bold Italic" w:cs="Times New Roman Bold Italic"/>
          <w:b/>
          <w:bCs/>
          <w:i/>
          <w:iCs/>
          <w:sz w:val="22"/>
          <w:szCs w:val="22"/>
        </w:rPr>
        <w:t>lustered paging may increase access delay slightly, but simulations show energy reductions of ~20–50% in light-load conditions and ~10–20% at medium loads, depending on configuration</w:t>
      </w:r>
      <w:r>
        <w:rPr>
          <w:rFonts w:hint="default" w:ascii="Times New Roman Bold Italic" w:hAnsi="Times New Roman Bold Italic" w:cs="Times New Roman Bold Italic"/>
          <w:b/>
          <w:bCs/>
          <w:i/>
          <w:iCs/>
          <w:sz w:val="22"/>
          <w:szCs w:val="22"/>
          <w:lang w:val="en-US"/>
        </w:rPr>
        <w:t>.</w:t>
      </w:r>
    </w:p>
    <w:p w14:paraId="001C9189">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val="en-US" w:eastAsia="zh-CN"/>
        </w:rPr>
        <w:t>26</w:t>
      </w:r>
      <w:r>
        <w:rPr>
          <w:rFonts w:ascii="Times New Roman Bold Italic" w:hAnsi="Times New Roman Bold Italic" w:cs="Times New Roman Bold Italic"/>
          <w:b/>
          <w:bCs/>
          <w:i/>
          <w:iCs/>
          <w:lang w:eastAsia="zh-CN"/>
        </w:rPr>
        <w:t>: 6G requires rapid activation and dormancy of secondary carriers, support for uplink-/downlink-only cells, and coordination with DRX/DTX to enable efficient multi-carrier energy savings.</w:t>
      </w:r>
    </w:p>
    <w:p w14:paraId="1CB84351">
      <w:pPr>
        <w:pStyle w:val="86"/>
        <w:numPr>
          <w:ilvl w:val="0"/>
          <w:numId w:val="0"/>
        </w:numPr>
        <w:rPr>
          <w:rFonts w:hint="default" w:ascii="Times New Roman Bold Italic" w:hAnsi="Times New Roman Bold Italic" w:eastAsia="宋体" w:cs="Times New Roman Bold Italic"/>
          <w:b/>
          <w:bCs/>
          <w:i/>
          <w:iCs/>
          <w:sz w:val="22"/>
          <w:szCs w:val="22"/>
          <w:lang w:val="en-US" w:eastAsia="zh-CN"/>
        </w:rPr>
      </w:pPr>
      <w:r>
        <w:rPr>
          <w:rFonts w:hint="default" w:ascii="Times New Roman Bold Italic" w:hAnsi="Times New Roman Bold Italic" w:cs="Times New Roman Bold Italic"/>
          <w:b/>
          <w:bCs/>
          <w:i/>
          <w:iCs/>
          <w:sz w:val="22"/>
          <w:szCs w:val="22"/>
        </w:rPr>
        <w:t xml:space="preserve">Observation </w:t>
      </w:r>
      <w:r>
        <w:rPr>
          <w:rFonts w:hint="eastAsia" w:ascii="Times New Roman Bold Italic" w:hAnsi="Times New Roman Bold Italic" w:cs="Times New Roman Bold Italic"/>
          <w:b/>
          <w:bCs/>
          <w:i/>
          <w:iCs/>
          <w:sz w:val="22"/>
          <w:szCs w:val="22"/>
          <w:lang w:val="en-US" w:eastAsia="zh-CN"/>
        </w:rPr>
        <w:t>27</w:t>
      </w:r>
      <w:r>
        <w:rPr>
          <w:rFonts w:hint="default" w:ascii="Times New Roman Bold Italic" w:hAnsi="Times New Roman Bold Italic" w:cs="Times New Roman Bold Italic"/>
          <w:b/>
          <w:bCs/>
          <w:i/>
          <w:iCs/>
          <w:sz w:val="22"/>
          <w:szCs w:val="22"/>
        </w:rPr>
        <w:t xml:space="preserve">: A BS low-power receiver enables ultra-deep sleep by detecting </w:t>
      </w:r>
      <w:r>
        <w:rPr>
          <w:rFonts w:hint="default" w:ascii="Times New Roman Bold Italic" w:hAnsi="Times New Roman Bold Italic" w:cs="Times New Roman Bold Italic"/>
          <w:b/>
          <w:bCs/>
          <w:i/>
          <w:iCs/>
          <w:sz w:val="22"/>
          <w:szCs w:val="22"/>
          <w:lang w:val="en-US"/>
        </w:rPr>
        <w:t>UL-WUS</w:t>
      </w:r>
      <w:r>
        <w:rPr>
          <w:rFonts w:hint="default" w:ascii="Times New Roman Bold Italic" w:hAnsi="Times New Roman Bold Italic" w:cs="Times New Roman Bold Italic"/>
          <w:b/>
          <w:bCs/>
          <w:i/>
          <w:iCs/>
          <w:sz w:val="22"/>
          <w:szCs w:val="22"/>
        </w:rPr>
        <w:t>, drastically reducing idle-period energy consumption</w:t>
      </w:r>
      <w:r>
        <w:rPr>
          <w:rFonts w:hint="default" w:ascii="Times New Roman Bold Italic" w:hAnsi="Times New Roman Bold Italic" w:cs="Times New Roman Bold Italic"/>
          <w:b/>
          <w:bCs/>
          <w:i/>
          <w:iCs/>
          <w:sz w:val="22"/>
          <w:szCs w:val="22"/>
          <w:lang w:val="en-US"/>
        </w:rPr>
        <w:t>.</w:t>
      </w:r>
    </w:p>
    <w:p w14:paraId="2CB02BC5">
      <w:pPr>
        <w:pStyle w:val="86"/>
        <w:numPr>
          <w:ilvl w:val="0"/>
          <w:numId w:val="0"/>
        </w:numPr>
        <w:rPr>
          <w:rFonts w:hint="default" w:ascii="Times New Roman Bold Italic" w:hAnsi="Times New Roman Bold Italic" w:cs="Times New Roman Bold Italic"/>
          <w:b/>
          <w:bCs/>
          <w:i/>
          <w:iCs/>
          <w:sz w:val="22"/>
          <w:szCs w:val="22"/>
        </w:rPr>
      </w:pPr>
    </w:p>
    <w:p w14:paraId="3BDCDB42">
      <w:pPr>
        <w:pStyle w:val="86"/>
        <w:numPr>
          <w:ilvl w:val="0"/>
          <w:numId w:val="0"/>
        </w:numPr>
        <w:rPr>
          <w:rFonts w:hint="default" w:ascii="Times New Roman Bold Italic" w:hAnsi="Times New Roman Bold Italic" w:cs="Times New Roman Bold Italic"/>
          <w:b/>
          <w:bCs/>
          <w:i/>
          <w:iCs/>
          <w:sz w:val="22"/>
          <w:szCs w:val="22"/>
        </w:rPr>
      </w:pPr>
      <w:r>
        <w:rPr>
          <w:rFonts w:hint="default" w:ascii="Times New Roman Bold Italic" w:hAnsi="Times New Roman Bold Italic" w:cs="Times New Roman Bold Italic"/>
          <w:b/>
          <w:bCs/>
          <w:i/>
          <w:iCs/>
          <w:sz w:val="22"/>
          <w:szCs w:val="22"/>
        </w:rPr>
        <w:t xml:space="preserve">Observation </w:t>
      </w:r>
      <w:r>
        <w:rPr>
          <w:rFonts w:hint="eastAsia" w:ascii="Times New Roman Bold Italic" w:hAnsi="Times New Roman Bold Italic" w:cs="Times New Roman Bold Italic"/>
          <w:b/>
          <w:bCs/>
          <w:i/>
          <w:iCs/>
          <w:sz w:val="22"/>
          <w:szCs w:val="22"/>
          <w:lang w:val="en-US" w:eastAsia="zh-CN"/>
        </w:rPr>
        <w:t>28</w:t>
      </w:r>
      <w:r>
        <w:rPr>
          <w:rFonts w:hint="default" w:ascii="Times New Roman Bold Italic" w:hAnsi="Times New Roman Bold Italic" w:cs="Times New Roman Bold Italic"/>
          <w:b/>
          <w:bCs/>
          <w:i/>
          <w:iCs/>
          <w:sz w:val="22"/>
          <w:szCs w:val="22"/>
        </w:rPr>
        <w:t>: Low-power BS transmissions (e.g. sparse sync beacons) coupled with UE wake-up receivers can preserve coverage and mobility while main radio chains remain off.</w:t>
      </w:r>
    </w:p>
    <w:p w14:paraId="5A6A106C">
      <w:pPr>
        <w:pStyle w:val="5"/>
        <w:rPr>
          <w:rFonts w:ascii="Times New Roman Bold Italic" w:hAnsi="Times New Roman Bold Italic" w:cs="Times New Roman Bold Italic"/>
          <w:b/>
          <w:bCs/>
          <w:i/>
          <w:iCs/>
          <w:lang w:eastAsia="zh-CN"/>
        </w:rPr>
      </w:pPr>
    </w:p>
    <w:p w14:paraId="052241CF">
      <w:pPr>
        <w:pStyle w:val="5"/>
        <w:rPr>
          <w:rFonts w:ascii="Times New Roman Bold Italic" w:hAnsi="Times New Roman Bold Italic" w:cs="Times New Roman Bold Italic"/>
          <w:b/>
          <w:bCs/>
          <w:i/>
          <w:iCs/>
          <w:lang w:eastAsia="zh-CN"/>
        </w:rPr>
      </w:pPr>
    </w:p>
    <w:p w14:paraId="11C0E25A">
      <w:pPr>
        <w:rPr>
          <w:rFonts w:ascii="Times" w:hAnsi="Times" w:eastAsia="等线" w:cs="Arial"/>
          <w:b/>
          <w:bCs/>
          <w:i/>
          <w:iCs/>
          <w:szCs w:val="24"/>
          <w:lang w:eastAsia="zh-CN"/>
        </w:rPr>
      </w:pPr>
      <w:r>
        <w:rPr>
          <w:rFonts w:hint="eastAsia"/>
          <w:b/>
          <w:bCs/>
          <w:i/>
          <w:iCs/>
          <w:lang w:eastAsia="zh-CN"/>
        </w:rPr>
        <w:t>P</w:t>
      </w:r>
      <w:r>
        <w:rPr>
          <w:b/>
          <w:bCs/>
          <w:i/>
          <w:iCs/>
          <w:lang w:eastAsia="zh-CN"/>
        </w:rPr>
        <w:t xml:space="preserve">roposal </w:t>
      </w:r>
      <w:r>
        <w:rPr>
          <w:rFonts w:hint="eastAsia"/>
          <w:b/>
          <w:bCs/>
          <w:i/>
          <w:iCs/>
          <w:lang w:val="en-US" w:eastAsia="zh-CN"/>
        </w:rPr>
        <w:t>19</w:t>
      </w:r>
      <w:r>
        <w:rPr>
          <w:b/>
          <w:bCs/>
          <w:i/>
          <w:iCs/>
          <w:lang w:eastAsia="zh-CN"/>
        </w:rPr>
        <w:t xml:space="preserve">: Further study different </w:t>
      </w:r>
      <w:r>
        <w:rPr>
          <w:rFonts w:ascii="Times" w:hAnsi="Times" w:eastAsia="等线" w:cs="Arial"/>
          <w:b/>
          <w:bCs/>
          <w:i/>
          <w:iCs/>
          <w:szCs w:val="24"/>
          <w:lang w:eastAsia="zh-CN"/>
        </w:rPr>
        <w:t>on-demand sync mechanisms including UE triggered, network triggered or automatic triggered by events, considering the following scenarios:</w:t>
      </w:r>
    </w:p>
    <w:p w14:paraId="3EFD60B6">
      <w:pPr>
        <w:pStyle w:val="51"/>
        <w:numPr>
          <w:ilvl w:val="0"/>
          <w:numId w:val="25"/>
        </w:numPr>
        <w:rPr>
          <w:rFonts w:ascii="Times New Roman" w:hAnsi="Times New Roman"/>
          <w:b/>
          <w:bCs/>
          <w:i/>
          <w:iCs/>
          <w:sz w:val="22"/>
          <w:szCs w:val="22"/>
          <w:lang w:eastAsia="zh-CN"/>
        </w:rPr>
      </w:pPr>
      <w:r>
        <w:rPr>
          <w:rFonts w:ascii="Times New Roman" w:hAnsi="Times New Roman"/>
          <w:b/>
          <w:bCs/>
          <w:i/>
          <w:iCs/>
          <w:sz w:val="22"/>
          <w:szCs w:val="22"/>
          <w:lang w:eastAsia="zh-CN"/>
        </w:rPr>
        <w:t>Different RRC state, e.g., Idle mode, connected mode</w:t>
      </w:r>
    </w:p>
    <w:p w14:paraId="53E5744A">
      <w:pPr>
        <w:pStyle w:val="51"/>
        <w:numPr>
          <w:ilvl w:val="0"/>
          <w:numId w:val="25"/>
        </w:numPr>
        <w:rPr>
          <w:rFonts w:ascii="Times New Roman" w:hAnsi="Times New Roman"/>
          <w:b/>
          <w:bCs/>
          <w:i/>
          <w:iCs/>
          <w:sz w:val="22"/>
          <w:szCs w:val="22"/>
          <w:lang w:eastAsia="zh-CN"/>
        </w:rPr>
      </w:pPr>
      <w:r>
        <w:rPr>
          <w:rFonts w:ascii="Times New Roman" w:hAnsi="Times New Roman"/>
          <w:b/>
          <w:bCs/>
          <w:i/>
          <w:iCs/>
          <w:sz w:val="22"/>
          <w:szCs w:val="22"/>
          <w:lang w:eastAsia="zh-CN"/>
        </w:rPr>
        <w:t xml:space="preserve">Single cell signal carrier, multiple cell including PCell </w:t>
      </w:r>
      <w:r>
        <w:rPr>
          <w:rFonts w:hint="eastAsia" w:ascii="Times New Roman" w:hAnsi="Times New Roman"/>
          <w:b/>
          <w:bCs/>
          <w:i/>
          <w:iCs/>
          <w:sz w:val="22"/>
          <w:szCs w:val="22"/>
          <w:lang w:eastAsia="zh-CN"/>
        </w:rPr>
        <w:t>and</w:t>
      </w:r>
      <w:r>
        <w:rPr>
          <w:rFonts w:ascii="Times New Roman" w:hAnsi="Times New Roman"/>
          <w:b/>
          <w:bCs/>
          <w:i/>
          <w:iCs/>
          <w:sz w:val="22"/>
          <w:szCs w:val="22"/>
          <w:lang w:eastAsia="zh-CN"/>
        </w:rPr>
        <w:t xml:space="preserve"> </w:t>
      </w:r>
      <w:r>
        <w:rPr>
          <w:rFonts w:hint="eastAsia" w:ascii="Times New Roman" w:hAnsi="Times New Roman"/>
          <w:b/>
          <w:bCs/>
          <w:i/>
          <w:iCs/>
          <w:sz w:val="22"/>
          <w:szCs w:val="22"/>
          <w:lang w:eastAsia="zh-CN"/>
        </w:rPr>
        <w:t>SCell,</w:t>
      </w:r>
      <w:r>
        <w:rPr>
          <w:rFonts w:ascii="Times New Roman" w:hAnsi="Times New Roman"/>
          <w:b/>
          <w:bCs/>
          <w:i/>
          <w:iCs/>
          <w:sz w:val="22"/>
          <w:szCs w:val="22"/>
          <w:lang w:eastAsia="zh-CN"/>
        </w:rPr>
        <w:t xml:space="preserve"> and Single cell multiple carrier</w:t>
      </w:r>
    </w:p>
    <w:p w14:paraId="4A67A375">
      <w:pPr>
        <w:pStyle w:val="51"/>
        <w:numPr>
          <w:ilvl w:val="0"/>
          <w:numId w:val="25"/>
        </w:numPr>
        <w:rPr>
          <w:rFonts w:ascii="Times New Roman" w:hAnsi="Times New Roman"/>
          <w:b/>
          <w:bCs/>
          <w:i/>
          <w:iCs/>
          <w:sz w:val="22"/>
          <w:szCs w:val="22"/>
          <w:lang w:eastAsia="zh-CN"/>
        </w:rPr>
      </w:pPr>
      <w:r>
        <w:rPr>
          <w:rFonts w:hint="eastAsia" w:ascii="Times New Roman" w:hAnsi="Times New Roman"/>
          <w:b/>
          <w:bCs/>
          <w:i/>
          <w:iCs/>
          <w:sz w:val="22"/>
          <w:szCs w:val="22"/>
          <w:lang w:eastAsia="zh-CN"/>
        </w:rPr>
        <w:t>SSB</w:t>
      </w:r>
      <w:r>
        <w:rPr>
          <w:rFonts w:ascii="Times New Roman" w:hAnsi="Times New Roman"/>
          <w:b/>
          <w:bCs/>
          <w:i/>
          <w:iCs/>
          <w:sz w:val="22"/>
          <w:szCs w:val="22"/>
          <w:lang w:eastAsia="zh-CN"/>
        </w:rPr>
        <w:t xml:space="preserve"> </w:t>
      </w:r>
      <w:r>
        <w:rPr>
          <w:rFonts w:hint="eastAsia" w:ascii="Times New Roman" w:hAnsi="Times New Roman"/>
          <w:b/>
          <w:bCs/>
          <w:i/>
          <w:iCs/>
          <w:sz w:val="22"/>
          <w:szCs w:val="22"/>
          <w:lang w:eastAsia="zh-CN"/>
        </w:rPr>
        <w:t>structure</w:t>
      </w:r>
      <w:r>
        <w:rPr>
          <w:rFonts w:hint="default" w:ascii="Times New Roman" w:hAnsi="Times New Roman"/>
          <w:b/>
          <w:bCs/>
          <w:i/>
          <w:iCs/>
          <w:sz w:val="22"/>
          <w:szCs w:val="22"/>
          <w:lang w:val="en-US" w:eastAsia="zh-CN"/>
        </w:rPr>
        <w:t>(s)</w:t>
      </w:r>
    </w:p>
    <w:p w14:paraId="75937AFC">
      <w:pPr>
        <w:pStyle w:val="5"/>
        <w:rPr>
          <w:rFonts w:ascii="Times New Roman Bold Italic" w:hAnsi="Times New Roman Bold Italic" w:cs="Times New Roman Bold Italic"/>
          <w:b/>
          <w:bCs/>
          <w:i/>
          <w:iCs/>
          <w:lang w:eastAsia="zh-CN"/>
        </w:rPr>
      </w:pPr>
    </w:p>
    <w:p w14:paraId="4B66332F">
      <w:pPr>
        <w:ind w:left="0" w:firstLine="0"/>
        <w:rPr>
          <w:rFonts w:hint="eastAsia"/>
          <w:lang w:eastAsia="zh-CN"/>
        </w:rPr>
      </w:pPr>
      <w:r>
        <w:rPr>
          <w:rFonts w:hint="default" w:ascii="Times New Roman Bold Italic" w:hAnsi="Times New Roman Bold Italic" w:cs="Times New Roman Bold Italic"/>
          <w:b/>
          <w:bCs/>
          <w:i/>
          <w:iCs/>
          <w:lang w:val="en-US" w:eastAsia="zh-CN"/>
        </w:rPr>
        <w:t xml:space="preserve">Proposal </w:t>
      </w:r>
      <w:r>
        <w:rPr>
          <w:rFonts w:hint="eastAsia" w:ascii="Times New Roman Bold Italic" w:hAnsi="Times New Roman Bold Italic" w:cs="Times New Roman Bold Italic"/>
          <w:b/>
          <w:bCs/>
          <w:i/>
          <w:iCs/>
          <w:lang w:val="en-US" w:eastAsia="zh-CN"/>
        </w:rPr>
        <w:t>20</w:t>
      </w:r>
      <w:r>
        <w:rPr>
          <w:rFonts w:hint="default" w:ascii="Times New Roman Bold Italic" w:hAnsi="Times New Roman Bold Italic" w:cs="Times New Roman Bold Italic"/>
          <w:b/>
          <w:bCs/>
          <w:i/>
          <w:iCs/>
          <w:lang w:val="en-US" w:eastAsia="zh-CN"/>
        </w:rPr>
        <w:t xml:space="preserve">: Consider and study PRACH adaptation or on-demand PRACH transmission or on-demand preamble (group) transmission in 6G day-1. </w:t>
      </w:r>
    </w:p>
    <w:p w14:paraId="79D6E9A3">
      <w:pPr>
        <w:pStyle w:val="5"/>
        <w:rPr>
          <w:rFonts w:ascii="Times New Roman Bold Italic" w:hAnsi="Times New Roman Bold Italic" w:cs="Times New Roman Bold Italic"/>
          <w:b/>
          <w:bCs/>
          <w:i/>
          <w:iCs/>
          <w:lang w:eastAsia="zh-CN"/>
        </w:rPr>
      </w:pPr>
    </w:p>
    <w:p w14:paraId="4E5781F6">
      <w:pPr>
        <w:rPr>
          <w:rFonts w:ascii="Times" w:hAnsi="Times" w:eastAsia="等线" w:cs="Arial"/>
          <w:b/>
          <w:bCs/>
          <w:i/>
          <w:iCs/>
          <w:szCs w:val="24"/>
          <w:lang w:eastAsia="zh-CN"/>
        </w:rPr>
      </w:pPr>
      <w:r>
        <w:rPr>
          <w:rFonts w:hint="eastAsia"/>
          <w:b/>
          <w:bCs/>
          <w:i/>
          <w:iCs/>
          <w:lang w:eastAsia="zh-CN"/>
        </w:rPr>
        <w:t>P</w:t>
      </w:r>
      <w:r>
        <w:rPr>
          <w:b/>
          <w:bCs/>
          <w:i/>
          <w:iCs/>
          <w:lang w:eastAsia="zh-CN"/>
        </w:rPr>
        <w:t xml:space="preserve">roposal </w:t>
      </w:r>
      <w:r>
        <w:rPr>
          <w:rFonts w:hint="eastAsia"/>
          <w:b/>
          <w:bCs/>
          <w:i/>
          <w:iCs/>
          <w:lang w:val="en-US" w:eastAsia="zh-CN"/>
        </w:rPr>
        <w:t>21</w:t>
      </w:r>
      <w:r>
        <w:rPr>
          <w:b/>
          <w:bCs/>
          <w:i/>
          <w:iCs/>
          <w:lang w:eastAsia="zh-CN"/>
        </w:rPr>
        <w:t xml:space="preserve">: Further study </w:t>
      </w:r>
      <w:r>
        <w:rPr>
          <w:rFonts w:ascii="Times" w:hAnsi="Times" w:eastAsia="等线" w:cs="Arial"/>
          <w:b/>
          <w:bCs/>
          <w:i/>
          <w:iCs/>
          <w:szCs w:val="24"/>
          <w:lang w:eastAsia="zh-CN"/>
        </w:rPr>
        <w:t xml:space="preserve">on-demand paging including </w:t>
      </w:r>
      <w:r>
        <w:rPr>
          <w:b/>
          <w:bCs/>
          <w:i/>
          <w:iCs/>
          <w:lang w:eastAsia="zh-CN"/>
        </w:rPr>
        <w:t xml:space="preserve">flexible </w:t>
      </w:r>
      <w:r>
        <w:rPr>
          <w:b/>
          <w:bCs/>
          <w:i/>
          <w:iCs/>
        </w:rPr>
        <w:t xml:space="preserve">clustering POs, </w:t>
      </w:r>
      <w:r>
        <w:rPr>
          <w:b/>
          <w:bCs/>
          <w:i/>
          <w:iCs/>
          <w:lang w:eastAsia="zh-CN"/>
        </w:rPr>
        <w:t>designing paging occasions near SSBs and two-</w:t>
      </w:r>
      <w:r>
        <w:rPr>
          <w:rFonts w:hint="default"/>
          <w:b/>
          <w:bCs/>
          <w:i/>
          <w:iCs/>
          <w:lang w:val="en-US" w:eastAsia="zh-CN"/>
        </w:rPr>
        <w:t>stages</w:t>
      </w:r>
      <w:r>
        <w:rPr>
          <w:b/>
          <w:bCs/>
          <w:i/>
          <w:iCs/>
          <w:lang w:eastAsia="zh-CN"/>
        </w:rPr>
        <w:t xml:space="preserve"> paging mechanism.</w:t>
      </w:r>
    </w:p>
    <w:p w14:paraId="6253031A">
      <w:pPr>
        <w:pStyle w:val="5"/>
        <w:rPr>
          <w:rFonts w:ascii="Times New Roman Bold Italic" w:hAnsi="Times New Roman Bold Italic" w:cs="Times New Roman Bold Italic"/>
          <w:b/>
          <w:bCs/>
          <w:i/>
          <w:iCs/>
          <w:lang w:eastAsia="zh-CN"/>
        </w:rPr>
      </w:pPr>
    </w:p>
    <w:p w14:paraId="46174D8A">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Proposal </w:t>
      </w:r>
      <w:r>
        <w:rPr>
          <w:rFonts w:hint="eastAsia" w:ascii="Times New Roman Bold Italic" w:hAnsi="Times New Roman Bold Italic" w:cs="Times New Roman Bold Italic"/>
          <w:b/>
          <w:bCs/>
          <w:i/>
          <w:iCs/>
          <w:lang w:val="en-US" w:eastAsia="zh-CN"/>
        </w:rPr>
        <w:t>22</w:t>
      </w:r>
      <w:r>
        <w:rPr>
          <w:rFonts w:ascii="Times New Roman Bold Italic" w:hAnsi="Times New Roman Bold Italic" w:cs="Times New Roman Bold Italic"/>
          <w:b/>
          <w:bCs/>
          <w:i/>
          <w:iCs/>
          <w:lang w:eastAsia="zh-CN"/>
        </w:rPr>
        <w:t xml:space="preserve">: </w:t>
      </w:r>
      <w:r>
        <w:rPr>
          <w:rFonts w:ascii="Times New Roman Bold Italic" w:hAnsi="Times New Roman Bold Italic" w:cs="Times New Roman Bold Italic"/>
          <w:b/>
          <w:bCs/>
          <w:i/>
          <w:iCs/>
          <w:lang w:val="en-GB"/>
        </w:rPr>
        <w:t>Study</w:t>
      </w:r>
      <w:r>
        <w:rPr>
          <w:rFonts w:ascii="Times New Roman Bold Italic" w:hAnsi="Times New Roman Bold Italic" w:cs="Times New Roman Bold Italic"/>
          <w:b/>
          <w:bCs/>
          <w:i/>
          <w:iCs/>
          <w:lang w:eastAsia="zh-CN"/>
        </w:rPr>
        <w:t xml:space="preserve"> more efficient and flexible Cell DTX/DRX mechanism considering joint with UE DRX mechanism, coordinate with both on demand UE-specific signals and on demand common signals</w:t>
      </w:r>
      <w:r>
        <w:rPr>
          <w:rFonts w:ascii="Times New Roman Bold Italic" w:hAnsi="Times New Roman Bold Italic" w:cs="Times New Roman Bold Italic"/>
          <w:b/>
          <w:bCs/>
          <w:i/>
          <w:iCs/>
          <w:lang w:val="en-GB"/>
        </w:rPr>
        <w:t>.</w:t>
      </w:r>
    </w:p>
    <w:p w14:paraId="56569355">
      <w:pPr>
        <w:pStyle w:val="25"/>
        <w:keepNext w:val="0"/>
        <w:keepLines w:val="0"/>
        <w:widowControl/>
        <w:suppressLineNumbers w:val="0"/>
        <w:jc w:val="both"/>
        <w:rPr>
          <w:rFonts w:hint="default" w:ascii="Times New Roman Bold Italic" w:hAnsi="Times New Roman Bold Italic" w:cs="Times New Roman Bold Italic"/>
          <w:i/>
          <w:iCs/>
          <w:sz w:val="22"/>
          <w:szCs w:val="22"/>
        </w:rPr>
      </w:pPr>
      <w:r>
        <w:rPr>
          <w:rStyle w:val="30"/>
          <w:rFonts w:hint="default" w:ascii="Times New Roman Bold Italic" w:hAnsi="Times New Roman Bold Italic" w:cs="Times New Roman Bold Italic"/>
          <w:i/>
          <w:iCs/>
          <w:sz w:val="22"/>
          <w:szCs w:val="22"/>
        </w:rPr>
        <w:t>Proposal</w:t>
      </w:r>
      <w:r>
        <w:rPr>
          <w:rStyle w:val="30"/>
          <w:rFonts w:hint="default" w:ascii="Times New Roman Bold Italic" w:hAnsi="Times New Roman Bold Italic" w:cs="Times New Roman Bold Italic"/>
          <w:i/>
          <w:iCs/>
          <w:sz w:val="22"/>
          <w:szCs w:val="22"/>
          <w:lang w:val="en-US"/>
        </w:rPr>
        <w:t xml:space="preserve"> </w:t>
      </w:r>
      <w:r>
        <w:rPr>
          <w:rStyle w:val="30"/>
          <w:rFonts w:hint="eastAsia" w:ascii="Times New Roman Bold Italic" w:hAnsi="Times New Roman Bold Italic" w:eastAsia="宋体" w:cs="Times New Roman Bold Italic"/>
          <w:i/>
          <w:iCs/>
          <w:sz w:val="22"/>
          <w:szCs w:val="22"/>
          <w:lang w:val="en-US" w:eastAsia="zh-CN"/>
        </w:rPr>
        <w:t>23</w:t>
      </w:r>
      <w:r>
        <w:rPr>
          <w:rStyle w:val="30"/>
          <w:rFonts w:hint="default" w:ascii="Times New Roman Bold Italic" w:hAnsi="Times New Roman Bold Italic" w:cs="Times New Roman Bold Italic"/>
          <w:i/>
          <w:iCs/>
          <w:sz w:val="22"/>
          <w:szCs w:val="22"/>
        </w:rPr>
        <w:t>:</w:t>
      </w:r>
      <w:r>
        <w:rPr>
          <w:rFonts w:hint="default" w:ascii="Times New Roman Bold Italic" w:hAnsi="Times New Roman Bold Italic" w:cs="Times New Roman Bold Italic"/>
          <w:i/>
          <w:iCs/>
          <w:sz w:val="22"/>
          <w:szCs w:val="22"/>
        </w:rPr>
        <w:t xml:space="preserve"> </w:t>
      </w:r>
      <w:r>
        <w:rPr>
          <w:rFonts w:hint="default" w:ascii="Times New Roman Bold Italic" w:hAnsi="Times New Roman Bold Italic" w:eastAsia="宋体" w:cs="Times New Roman Bold Italic"/>
          <w:i/>
          <w:iCs/>
          <w:sz w:val="22"/>
          <w:szCs w:val="22"/>
          <w:lang w:val="en-US" w:eastAsia="zh-CN"/>
        </w:rPr>
        <w:t>Consider a</w:t>
      </w:r>
      <w:r>
        <w:rPr>
          <w:rFonts w:hint="default" w:ascii="Times New Roman Bold Italic" w:hAnsi="Times New Roman Bold Italic" w:cs="Times New Roman Bold Italic"/>
          <w:i/>
          <w:iCs/>
          <w:sz w:val="22"/>
          <w:szCs w:val="22"/>
        </w:rPr>
        <w:t>dapt</w:t>
      </w:r>
      <w:r>
        <w:rPr>
          <w:rFonts w:hint="default" w:ascii="Times New Roman Bold Italic" w:hAnsi="Times New Roman Bold Italic" w:cs="Times New Roman Bold Italic"/>
          <w:i/>
          <w:iCs/>
          <w:sz w:val="22"/>
          <w:szCs w:val="22"/>
          <w:lang w:val="en-US"/>
        </w:rPr>
        <w:t>ation of</w:t>
      </w:r>
      <w:r>
        <w:rPr>
          <w:rFonts w:hint="default" w:ascii="Times New Roman Bold Italic" w:hAnsi="Times New Roman Bold Italic" w:cs="Times New Roman Bold Italic"/>
          <w:i/>
          <w:iCs/>
          <w:sz w:val="22"/>
          <w:szCs w:val="22"/>
        </w:rPr>
        <w:t xml:space="preserve"> cluster scheduling to traffic conditions and device capabilities, maximizing sleep intervals without QoS impact.</w:t>
      </w:r>
    </w:p>
    <w:p w14:paraId="013980AE">
      <w:pPr>
        <w:pStyle w:val="25"/>
        <w:keepNext w:val="0"/>
        <w:keepLines w:val="0"/>
        <w:widowControl/>
        <w:suppressLineNumbers w:val="0"/>
        <w:jc w:val="both"/>
        <w:rPr>
          <w:rStyle w:val="30"/>
          <w:rFonts w:hint="default" w:ascii="Times New Roman Bold Italic" w:hAnsi="Times New Roman Bold Italic" w:eastAsia="宋体" w:cs="Times New Roman Bold Italic"/>
          <w:i/>
          <w:iCs/>
          <w:sz w:val="22"/>
          <w:szCs w:val="22"/>
          <w:lang w:val="en-US" w:eastAsia="zh-CN"/>
        </w:rPr>
      </w:pPr>
      <w:r>
        <w:rPr>
          <w:rStyle w:val="30"/>
          <w:rFonts w:hint="eastAsia" w:ascii="Times New Roman Bold Italic" w:hAnsi="Times New Roman Bold Italic" w:eastAsia="宋体" w:cs="Times New Roman Bold Italic"/>
          <w:i/>
          <w:iCs/>
          <w:sz w:val="22"/>
          <w:szCs w:val="22"/>
          <w:lang w:val="en-US" w:eastAsia="zh-CN"/>
        </w:rPr>
        <w:t>Proposal 24</w:t>
      </w:r>
      <w:r>
        <w:rPr>
          <w:rStyle w:val="30"/>
          <w:rFonts w:hint="default" w:ascii="Times New Roman Bold Italic" w:hAnsi="Times New Roman Bold Italic" w:eastAsia="宋体" w:cs="Times New Roman Bold Italic"/>
          <w:i/>
          <w:iCs/>
          <w:sz w:val="22"/>
          <w:szCs w:val="22"/>
          <w:lang w:val="en-US" w:eastAsia="zh-CN"/>
        </w:rPr>
        <w:t>: C</w:t>
      </w:r>
      <w:r>
        <w:rPr>
          <w:rStyle w:val="30"/>
          <w:rFonts w:hint="default" w:ascii="Times New Roman Bold Italic" w:hAnsi="Times New Roman Bold Italic" w:eastAsia="宋体" w:cs="Times New Roman Bold Italic"/>
          <w:i/>
          <w:iCs/>
          <w:sz w:val="22"/>
          <w:szCs w:val="22"/>
          <w:lang w:val="en-US" w:eastAsia="zh-TW"/>
        </w:rPr>
        <w:t>onsider harmonization and coordination of 6G BW adaptation design to support multi-carrier/spectrum operation, multi-TRP operation  for 6GR EE.</w:t>
      </w:r>
    </w:p>
    <w:p w14:paraId="3F0F3088">
      <w:pPr>
        <w:pStyle w:val="5"/>
        <w:rPr>
          <w:rFonts w:ascii="Times New Roman Bold Italic" w:hAnsi="Times New Roman Bold Italic" w:cs="Times New Roman Bold Italic"/>
          <w:b/>
          <w:bCs/>
          <w:i/>
          <w:iCs/>
          <w:lang w:eastAsia="zh-CN"/>
        </w:rPr>
      </w:pPr>
      <w:r>
        <w:rPr>
          <w:rFonts w:hint="default" w:ascii="Times New Roman Bold Italic" w:hAnsi="Times New Roman Bold Italic" w:cs="Times New Roman Bold Italic"/>
          <w:b/>
          <w:bCs/>
          <w:i/>
          <w:iCs/>
          <w:sz w:val="22"/>
          <w:szCs w:val="22"/>
          <w:lang w:val="en-US" w:eastAsia="zh-CN"/>
        </w:rPr>
        <w:t xml:space="preserve">Proposal </w:t>
      </w:r>
      <w:r>
        <w:rPr>
          <w:rFonts w:hint="eastAsia" w:ascii="Times New Roman Bold Italic" w:hAnsi="Times New Roman Bold Italic" w:cs="Times New Roman Bold Italic"/>
          <w:b/>
          <w:bCs/>
          <w:i/>
          <w:iCs/>
          <w:sz w:val="22"/>
          <w:szCs w:val="22"/>
          <w:lang w:val="en-US" w:eastAsia="zh-CN"/>
        </w:rPr>
        <w:t>25</w:t>
      </w:r>
      <w:r>
        <w:rPr>
          <w:rFonts w:hint="default" w:ascii="Times New Roman Bold Italic" w:hAnsi="Times New Roman Bold Italic" w:cs="Times New Roman Bold Italic"/>
          <w:b/>
          <w:bCs/>
          <w:i/>
          <w:iCs/>
          <w:sz w:val="22"/>
          <w:szCs w:val="22"/>
          <w:lang w:val="en-US" w:eastAsia="zh-CN"/>
        </w:rPr>
        <w:t xml:space="preserve">: Support </w:t>
      </w:r>
      <w:r>
        <w:rPr>
          <w:rFonts w:hint="default" w:ascii="Times New Roman Bold Italic" w:hAnsi="Times New Roman Bold Italic" w:cs="Times New Roman Bold Italic"/>
          <w:b/>
          <w:bCs/>
          <w:i/>
          <w:iCs/>
          <w:sz w:val="22"/>
          <w:szCs w:val="22"/>
          <w:lang w:eastAsia="zh-CN"/>
        </w:rPr>
        <w:t>dynamically allocate carriers as uplink-only, downlink-only, or full duplex based on traffic needs</w:t>
      </w:r>
      <w:r>
        <w:rPr>
          <w:rFonts w:hint="default" w:ascii="Times New Roman Bold Italic" w:hAnsi="Times New Roman Bold Italic" w:cs="Times New Roman Bold Italic"/>
          <w:b/>
          <w:bCs/>
          <w:i/>
          <w:iCs/>
          <w:sz w:val="22"/>
          <w:szCs w:val="22"/>
          <w:lang w:val="en-US" w:eastAsia="zh-CN"/>
        </w:rPr>
        <w:t xml:space="preserve"> or DRX/DTX configurations</w:t>
      </w:r>
      <w:r>
        <w:rPr>
          <w:rFonts w:hint="default" w:ascii="Times New Roman Bold Italic" w:hAnsi="Times New Roman Bold Italic" w:cs="Times New Roman Bold Italic"/>
          <w:b/>
          <w:bCs/>
          <w:i/>
          <w:iCs/>
          <w:sz w:val="22"/>
          <w:szCs w:val="22"/>
          <w:lang w:eastAsia="zh-CN"/>
        </w:rPr>
        <w:t xml:space="preserve">, </w:t>
      </w:r>
      <w:r>
        <w:rPr>
          <w:rFonts w:hint="eastAsia" w:ascii="Times New Roman Bold Italic" w:hAnsi="Times New Roman Bold Italic" w:cs="Times New Roman Bold Italic"/>
          <w:b/>
          <w:bCs/>
          <w:i/>
          <w:iCs/>
          <w:sz w:val="22"/>
          <w:szCs w:val="22"/>
          <w:lang w:val="en-US" w:eastAsia="zh-CN"/>
        </w:rPr>
        <w:t>maximizing</w:t>
      </w:r>
      <w:r>
        <w:rPr>
          <w:rFonts w:hint="default" w:ascii="Times New Roman Bold Italic" w:hAnsi="Times New Roman Bold Italic" w:cs="Times New Roman Bold Italic"/>
          <w:b/>
          <w:bCs/>
          <w:i/>
          <w:iCs/>
          <w:sz w:val="22"/>
          <w:szCs w:val="22"/>
          <w:lang w:eastAsia="zh-CN"/>
        </w:rPr>
        <w:t xml:space="preserve"> any unnecessary transmitters</w:t>
      </w:r>
      <w:r>
        <w:rPr>
          <w:rFonts w:hint="default" w:ascii="Times New Roman Bold Italic" w:hAnsi="Times New Roman Bold Italic" w:cs="Times New Roman Bold Italic"/>
          <w:b/>
          <w:bCs/>
          <w:i/>
          <w:iCs/>
          <w:sz w:val="22"/>
          <w:szCs w:val="22"/>
          <w:lang w:val="en-US" w:eastAsia="zh-CN"/>
        </w:rPr>
        <w:t>.</w:t>
      </w:r>
    </w:p>
    <w:p w14:paraId="56842644">
      <w:pPr>
        <w:pStyle w:val="86"/>
        <w:numPr>
          <w:ilvl w:val="0"/>
          <w:numId w:val="0"/>
        </w:numPr>
        <w:rPr>
          <w:rFonts w:hint="default" w:ascii="Times New Roman Bold Italic" w:hAnsi="Times New Roman Bold Italic" w:cs="Times New Roman Bold Italic"/>
          <w:b/>
          <w:bCs/>
          <w:i/>
          <w:iCs/>
          <w:sz w:val="22"/>
          <w:szCs w:val="22"/>
          <w:lang w:val="en-US"/>
        </w:rPr>
      </w:pPr>
    </w:p>
    <w:p w14:paraId="3D4A7C2E">
      <w:pPr>
        <w:pStyle w:val="86"/>
        <w:numPr>
          <w:ilvl w:val="0"/>
          <w:numId w:val="0"/>
        </w:numPr>
        <w:rPr>
          <w:rFonts w:hint="default" w:ascii="Times New Roman Bold Italic" w:hAnsi="Times New Roman Bold Italic" w:cs="Times New Roman Bold Italic"/>
          <w:b/>
          <w:bCs/>
          <w:i/>
          <w:iCs/>
          <w:sz w:val="22"/>
          <w:szCs w:val="22"/>
          <w:lang w:val="en-US"/>
        </w:rPr>
      </w:pPr>
      <w:r>
        <w:rPr>
          <w:rFonts w:hint="default" w:ascii="Times New Roman Bold Italic" w:hAnsi="Times New Roman Bold Italic" w:cs="Times New Roman Bold Italic"/>
          <w:b/>
          <w:bCs/>
          <w:i/>
          <w:iCs/>
          <w:sz w:val="22"/>
          <w:szCs w:val="22"/>
          <w:lang w:val="en-US"/>
        </w:rPr>
        <w:t xml:space="preserve">Proposal </w:t>
      </w:r>
      <w:r>
        <w:rPr>
          <w:rFonts w:hint="eastAsia" w:ascii="Times New Roman Bold Italic" w:hAnsi="Times New Roman Bold Italic" w:cs="Times New Roman Bold Italic"/>
          <w:b/>
          <w:bCs/>
          <w:i/>
          <w:iCs/>
          <w:sz w:val="22"/>
          <w:szCs w:val="22"/>
          <w:lang w:val="en-US" w:eastAsia="zh-CN"/>
        </w:rPr>
        <w:t>26</w:t>
      </w:r>
      <w:r>
        <w:rPr>
          <w:rFonts w:hint="default" w:ascii="Times New Roman Bold Italic" w:hAnsi="Times New Roman Bold Italic" w:cs="Times New Roman Bold Italic"/>
          <w:b/>
          <w:bCs/>
          <w:i/>
          <w:iCs/>
          <w:sz w:val="22"/>
          <w:szCs w:val="22"/>
          <w:lang w:val="en-US"/>
        </w:rPr>
        <w:t xml:space="preserve">: Consider whether/how to study </w:t>
      </w:r>
      <w:r>
        <w:rPr>
          <w:rFonts w:hint="default" w:ascii="Times New Roman Bold Italic" w:hAnsi="Times New Roman Bold Italic" w:cs="Times New Roman Bold Italic"/>
          <w:b/>
          <w:bCs/>
          <w:i/>
          <w:iCs/>
          <w:sz w:val="22"/>
          <w:szCs w:val="22"/>
        </w:rPr>
        <w:t>BS-side low-power RX/TX architecture as a native 6G energy-saving mechanism</w:t>
      </w:r>
      <w:r>
        <w:rPr>
          <w:rFonts w:hint="default" w:ascii="Times New Roman Bold Italic" w:hAnsi="Times New Roman Bold Italic" w:cs="Times New Roman Bold Italic"/>
          <w:b/>
          <w:bCs/>
          <w:i/>
          <w:iCs/>
          <w:sz w:val="22"/>
          <w:szCs w:val="22"/>
          <w:lang w:val="en-US"/>
        </w:rPr>
        <w:t>.</w:t>
      </w:r>
    </w:p>
    <w:p w14:paraId="04EBBE34">
      <w:pPr>
        <w:pStyle w:val="86"/>
        <w:numPr>
          <w:ilvl w:val="0"/>
          <w:numId w:val="0"/>
        </w:numPr>
        <w:rPr>
          <w:rFonts w:hint="default" w:ascii="Times New Roman Bold Italic" w:hAnsi="Times New Roman Bold Italic" w:cs="Times New Roman Bold Italic"/>
          <w:b/>
          <w:bCs/>
          <w:i/>
          <w:iCs/>
          <w:sz w:val="22"/>
          <w:szCs w:val="22"/>
          <w:lang w:val="en-US"/>
        </w:rPr>
      </w:pPr>
    </w:p>
    <w:p w14:paraId="797BE259">
      <w:pPr>
        <w:pStyle w:val="86"/>
        <w:numPr>
          <w:ilvl w:val="0"/>
          <w:numId w:val="0"/>
        </w:numPr>
        <w:rPr>
          <w:rFonts w:ascii="Times New Roman Bold Italic" w:hAnsi="Times New Roman Bold Italic" w:cs="Times New Roman Bold Italic"/>
          <w:b/>
          <w:bCs/>
          <w:i/>
          <w:iCs/>
          <w:lang w:eastAsia="zh-CN"/>
        </w:rPr>
      </w:pPr>
      <w:r>
        <w:rPr>
          <w:rFonts w:hint="default" w:ascii="Times New Roman Bold Italic" w:hAnsi="Times New Roman Bold Italic" w:cs="Times New Roman Bold Italic"/>
          <w:b/>
          <w:bCs/>
          <w:i/>
          <w:iCs/>
          <w:sz w:val="22"/>
          <w:szCs w:val="22"/>
          <w:lang w:val="en-US"/>
        </w:rPr>
        <w:t xml:space="preserve">Proposal </w:t>
      </w:r>
      <w:r>
        <w:rPr>
          <w:rFonts w:hint="eastAsia" w:ascii="Times New Roman Bold Italic" w:hAnsi="Times New Roman Bold Italic" w:cs="Times New Roman Bold Italic"/>
          <w:b/>
          <w:bCs/>
          <w:i/>
          <w:iCs/>
          <w:sz w:val="22"/>
          <w:szCs w:val="22"/>
          <w:lang w:val="en-US" w:eastAsia="zh-CN"/>
        </w:rPr>
        <w:t>27</w:t>
      </w:r>
      <w:r>
        <w:rPr>
          <w:rFonts w:hint="default" w:ascii="Times New Roman Bold Italic" w:hAnsi="Times New Roman Bold Italic" w:cs="Times New Roman Bold Italic"/>
          <w:b/>
          <w:bCs/>
          <w:i/>
          <w:iCs/>
          <w:sz w:val="22"/>
          <w:szCs w:val="22"/>
          <w:lang w:val="en-US"/>
        </w:rPr>
        <w:t>: Consider UL-WUS design as a native 6G energy-saving mechanism, with some of challenges like interference, reliable detection (across FR1–FR3), and coordination with DRX/dormant cell operation.</w:t>
      </w:r>
    </w:p>
    <w:p w14:paraId="19660F57">
      <w:pPr>
        <w:rPr>
          <w:iCs/>
          <w:lang w:eastAsia="zh-CN"/>
        </w:rPr>
      </w:pPr>
    </w:p>
    <w:p w14:paraId="34C0E491">
      <w:pPr>
        <w:outlineLvl w:val="1"/>
        <w:rPr>
          <w:rFonts w:ascii="Times New Roman Bold Italic" w:hAnsi="Times New Roman Bold Italic" w:cs="Times New Roman Bold Italic"/>
          <w:b/>
          <w:bCs/>
          <w:i/>
          <w:iCs/>
          <w:szCs w:val="24"/>
          <w:highlight w:val="yellow"/>
          <w:u w:val="single"/>
          <w:lang w:eastAsia="zh-CN"/>
        </w:rPr>
      </w:pPr>
      <w:r>
        <w:rPr>
          <w:rFonts w:hint="default" w:ascii="Times New Roman Bold Italic" w:hAnsi="Times New Roman Bold Italic" w:cs="Times New Roman Bold Italic"/>
          <w:b/>
          <w:bCs/>
          <w:i/>
          <w:iCs/>
          <w:szCs w:val="24"/>
          <w:highlight w:val="yellow"/>
          <w:u w:val="single"/>
          <w:lang w:val="en-US" w:eastAsia="zh-CN"/>
        </w:rPr>
        <w:t xml:space="preserve">UE level related </w:t>
      </w:r>
      <w:r>
        <w:rPr>
          <w:rFonts w:ascii="Times New Roman Bold Italic" w:hAnsi="Times New Roman Bold Italic" w:cs="Times New Roman Bold Italic"/>
          <w:b/>
          <w:bCs/>
          <w:i/>
          <w:iCs/>
          <w:szCs w:val="24"/>
          <w:highlight w:val="yellow"/>
          <w:u w:val="single"/>
          <w:lang w:eastAsia="zh-CN"/>
        </w:rPr>
        <w:t>6G</w:t>
      </w:r>
      <w:r>
        <w:rPr>
          <w:rFonts w:hint="eastAsia" w:ascii="Times New Roman Bold Italic" w:hAnsi="Times New Roman Bold Italic" w:cs="Times New Roman Bold Italic"/>
          <w:b/>
          <w:bCs/>
          <w:i/>
          <w:iCs/>
          <w:szCs w:val="24"/>
          <w:highlight w:val="yellow"/>
          <w:u w:val="single"/>
          <w:lang w:eastAsia="zh-CN"/>
        </w:rPr>
        <w:t>R</w:t>
      </w:r>
      <w:r>
        <w:rPr>
          <w:rFonts w:ascii="Times New Roman Bold Italic" w:hAnsi="Times New Roman Bold Italic" w:cs="Times New Roman Bold Italic"/>
          <w:b/>
          <w:bCs/>
          <w:i/>
          <w:iCs/>
          <w:szCs w:val="24"/>
          <w:highlight w:val="yellow"/>
          <w:u w:val="single"/>
          <w:lang w:eastAsia="zh-CN"/>
        </w:rPr>
        <w:t xml:space="preserve"> energy efficiency considerations</w:t>
      </w:r>
    </w:p>
    <w:p w14:paraId="6733FBCE">
      <w:pPr>
        <w:rPr>
          <w:iCs/>
          <w:lang w:eastAsia="zh-CN"/>
        </w:rPr>
      </w:pPr>
      <w:r>
        <w:rPr>
          <w:rFonts w:hint="default" w:ascii="Times New Roman Bold Italic" w:hAnsi="Times New Roman Bold Italic" w:cs="Times New Roman Bold Italic"/>
          <w:b/>
          <w:bCs/>
          <w:i/>
          <w:iCs/>
          <w:lang w:val="en-US" w:eastAsia="zh-CN"/>
        </w:rPr>
        <w:t xml:space="preserve">Observation </w:t>
      </w:r>
      <w:r>
        <w:rPr>
          <w:rFonts w:hint="eastAsia" w:ascii="Times New Roman Bold Italic" w:hAnsi="Times New Roman Bold Italic" w:cs="Times New Roman Bold Italic"/>
          <w:b/>
          <w:bCs/>
          <w:i/>
          <w:iCs/>
          <w:lang w:val="en-US" w:eastAsia="zh-CN"/>
        </w:rPr>
        <w:t>29</w:t>
      </w:r>
      <w:r>
        <w:rPr>
          <w:rFonts w:hint="default" w:ascii="Times New Roman Bold Italic" w:hAnsi="Times New Roman Bold Italic" w:cs="Times New Roman Bold Italic"/>
          <w:b/>
          <w:bCs/>
          <w:i/>
          <w:iCs/>
          <w:lang w:val="en-US" w:eastAsia="zh-CN"/>
        </w:rPr>
        <w:t xml:space="preserve">: If setting up same parameters and considering same scenario, no significant </w:t>
      </w:r>
      <w:r>
        <w:rPr>
          <w:rFonts w:hint="eastAsia" w:ascii="Times New Roman Bold Italic" w:hAnsi="Times New Roman Bold Italic" w:cs="Times New Roman Bold Italic"/>
          <w:b/>
          <w:bCs/>
          <w:i/>
          <w:iCs/>
          <w:lang w:val="en-US" w:eastAsia="zh-CN"/>
        </w:rPr>
        <w:t>difference</w:t>
      </w:r>
      <w:r>
        <w:rPr>
          <w:rFonts w:hint="default" w:ascii="Times New Roman Bold Italic" w:hAnsi="Times New Roman Bold Italic" w:cs="Times New Roman Bold Italic"/>
          <w:b/>
          <w:bCs/>
          <w:i/>
          <w:iCs/>
          <w:lang w:val="en-US" w:eastAsia="zh-CN"/>
        </w:rPr>
        <w:t xml:space="preserve"> for power saving</w:t>
      </w:r>
      <w:r>
        <w:rPr>
          <w:rFonts w:hint="eastAsia" w:ascii="Times New Roman Bold Italic" w:hAnsi="Times New Roman Bold Italic" w:cs="Times New Roman Bold Italic"/>
          <w:b/>
          <w:bCs/>
          <w:i/>
          <w:iCs/>
          <w:lang w:val="en-US" w:eastAsia="zh-CN"/>
        </w:rPr>
        <w:t xml:space="preserve"> gain</w:t>
      </w:r>
      <w:r>
        <w:rPr>
          <w:rFonts w:hint="default" w:ascii="Times New Roman Bold Italic" w:hAnsi="Times New Roman Bold Italic" w:cs="Times New Roman Bold Italic"/>
          <w:b/>
          <w:bCs/>
          <w:i/>
          <w:iCs/>
          <w:lang w:val="en-US" w:eastAsia="zh-CN"/>
        </w:rPr>
        <w:t xml:space="preserve"> could be discovered </w:t>
      </w:r>
      <w:r>
        <w:rPr>
          <w:rFonts w:hint="eastAsia" w:ascii="Times New Roman Bold Italic" w:hAnsi="Times New Roman Bold Italic" w:cs="Times New Roman Bold Italic"/>
          <w:b/>
          <w:bCs/>
          <w:i/>
          <w:iCs/>
          <w:lang w:val="en-US" w:eastAsia="zh-CN"/>
        </w:rPr>
        <w:t xml:space="preserve">between </w:t>
      </w:r>
      <w:r>
        <w:rPr>
          <w:rFonts w:hint="default" w:ascii="Times New Roman Bold Italic" w:hAnsi="Times New Roman Bold Italic" w:cs="Times New Roman Bold Italic"/>
          <w:b/>
          <w:bCs/>
          <w:i/>
          <w:iCs/>
          <w:lang w:val="en-US" w:eastAsia="zh-CN"/>
        </w:rPr>
        <w:t xml:space="preserve">SSSG switching </w:t>
      </w:r>
      <w:r>
        <w:rPr>
          <w:rFonts w:hint="eastAsia" w:ascii="Times New Roman Bold Italic" w:hAnsi="Times New Roman Bold Italic" w:cs="Times New Roman Bold Italic"/>
          <w:b/>
          <w:bCs/>
          <w:i/>
          <w:iCs/>
          <w:lang w:val="en-US" w:eastAsia="zh-CN"/>
        </w:rPr>
        <w:t>and</w:t>
      </w:r>
      <w:r>
        <w:rPr>
          <w:rFonts w:hint="default" w:ascii="Times New Roman Bold Italic" w:hAnsi="Times New Roman Bold Italic" w:cs="Times New Roman Bold Italic"/>
          <w:b/>
          <w:bCs/>
          <w:i/>
          <w:iCs/>
          <w:lang w:val="en-US" w:eastAsia="zh-CN"/>
        </w:rPr>
        <w:t xml:space="preserve"> PDCCH skipping schemes. </w:t>
      </w:r>
    </w:p>
    <w:p w14:paraId="4C0B5F46">
      <w:pPr>
        <w:rPr>
          <w:iCs/>
          <w:lang w:eastAsia="zh-CN"/>
        </w:rPr>
      </w:pPr>
      <w:r>
        <w:rPr>
          <w:rFonts w:hint="default" w:ascii="Times New Roman Bold Italic" w:hAnsi="Times New Roman Bold Italic" w:cs="Times New Roman Bold Italic"/>
          <w:b/>
          <w:bCs/>
          <w:i/>
          <w:iCs/>
          <w:lang w:val="en-US"/>
        </w:rPr>
        <w:t xml:space="preserve">Observation </w:t>
      </w:r>
      <w:r>
        <w:rPr>
          <w:rFonts w:hint="eastAsia" w:ascii="Times New Roman Bold Italic" w:hAnsi="Times New Roman Bold Italic" w:cs="Times New Roman Bold Italic"/>
          <w:b/>
          <w:bCs/>
          <w:i/>
          <w:iCs/>
          <w:lang w:val="en-US" w:eastAsia="zh-CN"/>
        </w:rPr>
        <w:t>30</w:t>
      </w:r>
      <w:r>
        <w:rPr>
          <w:rFonts w:hint="default" w:ascii="Times New Roman Bold Italic" w:hAnsi="Times New Roman Bold Italic" w:cs="Times New Roman Bold Italic"/>
          <w:b/>
          <w:bCs/>
          <w:i/>
          <w:iCs/>
          <w:lang w:val="en-US"/>
        </w:rPr>
        <w:t xml:space="preserve">: </w:t>
      </w:r>
      <w:r>
        <w:rPr>
          <w:rFonts w:hint="default" w:ascii="Times New Roman Bold Italic" w:hAnsi="Times New Roman Bold Italic" w:cs="Times New Roman Bold Italic"/>
          <w:b/>
          <w:bCs/>
          <w:i/>
          <w:iCs/>
          <w:lang w:val="en-US" w:eastAsia="zh-CN"/>
        </w:rPr>
        <w:t>By selectively omitting or consolidating UCI transmissions, the UE can remain longer in idle transmit state, which extends battery life while still maintaining the necessary control link with the network.</w:t>
      </w:r>
    </w:p>
    <w:p w14:paraId="493438E6">
      <w:pPr>
        <w:rPr>
          <w:iCs/>
          <w:lang w:eastAsia="zh-CN"/>
        </w:rPr>
      </w:pPr>
      <w:r>
        <w:rPr>
          <w:rFonts w:hint="default" w:ascii="Times New Roman Bold Italic" w:hAnsi="Times New Roman Bold Italic" w:cs="Times New Roman Bold Italic"/>
          <w:b/>
          <w:bCs/>
          <w:i/>
          <w:iCs/>
          <w:lang w:val="en-US" w:eastAsia="zh-CN"/>
        </w:rPr>
        <w:t xml:space="preserve">Observation </w:t>
      </w:r>
      <w:r>
        <w:rPr>
          <w:rFonts w:hint="eastAsia" w:ascii="Times New Roman Bold Italic" w:hAnsi="Times New Roman Bold Italic" w:cs="Times New Roman Bold Italic"/>
          <w:b/>
          <w:bCs/>
          <w:i/>
          <w:iCs/>
          <w:lang w:val="en-US" w:eastAsia="zh-CN"/>
        </w:rPr>
        <w:t>31</w:t>
      </w:r>
      <w:r>
        <w:rPr>
          <w:rFonts w:hint="default" w:ascii="Times New Roman Bold Italic" w:hAnsi="Times New Roman Bold Italic" w:cs="Times New Roman Bold Italic"/>
          <w:b/>
          <w:bCs/>
          <w:i/>
          <w:iCs/>
          <w:lang w:val="en-US" w:eastAsia="zh-CN"/>
        </w:rPr>
        <w:t xml:space="preserve">: 6G scheduling should provide stable grants with sufficient lead time and avoid revoking or altering uplink opportunities at the last instant. </w:t>
      </w:r>
    </w:p>
    <w:p w14:paraId="751C3D75">
      <w:pPr>
        <w:rPr>
          <w:iCs/>
          <w:lang w:eastAsia="zh-CN"/>
        </w:rPr>
      </w:pPr>
      <w:r>
        <w:rPr>
          <w:rFonts w:hint="default" w:ascii="Times New Roman Bold Italic" w:hAnsi="Times New Roman Bold Italic" w:cs="Times New Roman Bold Italic"/>
          <w:b/>
          <w:bCs/>
          <w:i/>
          <w:iCs/>
          <w:lang w:val="en-US" w:eastAsia="zh-CN"/>
        </w:rPr>
        <w:t xml:space="preserve">Observation </w:t>
      </w:r>
      <w:r>
        <w:rPr>
          <w:rFonts w:hint="eastAsia" w:ascii="Times New Roman Bold Italic" w:hAnsi="Times New Roman Bold Italic" w:cs="Times New Roman Bold Italic"/>
          <w:b/>
          <w:bCs/>
          <w:i/>
          <w:iCs/>
          <w:lang w:val="en-US" w:eastAsia="zh-CN"/>
        </w:rPr>
        <w:t>32</w:t>
      </w:r>
      <w:r>
        <w:rPr>
          <w:rFonts w:hint="default" w:ascii="Times New Roman Bold Italic" w:hAnsi="Times New Roman Bold Italic" w:cs="Times New Roman Bold Italic"/>
          <w:b/>
          <w:bCs/>
          <w:i/>
          <w:iCs/>
          <w:lang w:val="en-US" w:eastAsia="zh-CN"/>
        </w:rPr>
        <w:t>: Simplified UCI formats and hybrid fixed/dynamic uplink control design could bring energy-saving gain.</w:t>
      </w:r>
    </w:p>
    <w:p w14:paraId="6B3904F4">
      <w:pPr>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 xml:space="preserve">Observation </w:t>
      </w:r>
      <w:r>
        <w:rPr>
          <w:rFonts w:hint="eastAsia" w:ascii="Times New Roman Bold Italic" w:hAnsi="Times New Roman Bold Italic" w:cs="Times New Roman Bold Italic"/>
          <w:b/>
          <w:bCs/>
          <w:i/>
          <w:iCs/>
          <w:lang w:val="en-US" w:eastAsia="zh-CN"/>
        </w:rPr>
        <w:t>33</w:t>
      </w:r>
      <w:r>
        <w:rPr>
          <w:rFonts w:hint="default" w:ascii="Times New Roman Bold Italic" w:hAnsi="Times New Roman Bold Italic" w:cs="Times New Roman Bold Italic"/>
          <w:b/>
          <w:bCs/>
          <w:i/>
          <w:iCs/>
          <w:lang w:val="en-US" w:eastAsia="zh-CN"/>
        </w:rPr>
        <w:t>: For 6G, based on the traffic, an autonomous uplink mode is envisioned in which UEs are given to send in pre-defined resource pools when they have data, using UE-selected transmission parameters.</w:t>
      </w:r>
    </w:p>
    <w:p w14:paraId="464508FC">
      <w:pPr>
        <w:rPr>
          <w:rFonts w:hint="default" w:ascii="Times New Roman Bold Italic" w:hAnsi="Times New Roman Bold Italic" w:cs="Times New Roman Bold Italic"/>
          <w:b/>
          <w:bCs/>
          <w:i/>
          <w:iCs/>
          <w:sz w:val="22"/>
          <w:szCs w:val="22"/>
          <w:lang w:val="en-US"/>
        </w:rPr>
      </w:pPr>
      <w:r>
        <w:rPr>
          <w:rFonts w:hint="eastAsia" w:ascii="Times New Roman Bold Italic" w:hAnsi="Times New Roman Bold Italic" w:cs="Times New Roman Bold Italic"/>
          <w:b/>
          <w:bCs/>
          <w:i/>
          <w:iCs/>
          <w:sz w:val="22"/>
          <w:szCs w:val="22"/>
          <w:lang w:eastAsia="zh-CN"/>
        </w:rPr>
        <w:t xml:space="preserve">Observation </w:t>
      </w:r>
      <w:r>
        <w:rPr>
          <w:rFonts w:hint="eastAsia" w:ascii="Times New Roman Bold Italic" w:hAnsi="Times New Roman Bold Italic" w:cs="Times New Roman Bold Italic"/>
          <w:b/>
          <w:bCs/>
          <w:i/>
          <w:iCs/>
          <w:sz w:val="22"/>
          <w:szCs w:val="22"/>
          <w:lang w:val="en-US" w:eastAsia="zh-CN"/>
        </w:rPr>
        <w:t>34</w:t>
      </w:r>
      <w:r>
        <w:rPr>
          <w:rFonts w:hint="default" w:ascii="Times New Roman Bold Italic" w:hAnsi="Times New Roman Bold Italic" w:cs="Times New Roman Bold Italic"/>
          <w:b/>
          <w:bCs/>
          <w:i/>
          <w:iCs/>
          <w:sz w:val="22"/>
          <w:szCs w:val="22"/>
          <w:lang w:val="en-US" w:eastAsia="zh-CN"/>
        </w:rPr>
        <w:t>:</w:t>
      </w:r>
      <w:r>
        <w:rPr>
          <w:sz w:val="22"/>
          <w:szCs w:val="22"/>
        </w:rPr>
        <w:t xml:space="preserve"> </w:t>
      </w:r>
      <w:r>
        <w:rPr>
          <w:rFonts w:hint="default" w:ascii="Times New Roman Bold Italic" w:hAnsi="Times New Roman Bold Italic" w:cs="Times New Roman Bold Italic"/>
          <w:b/>
          <w:bCs/>
          <w:i/>
          <w:iCs/>
          <w:sz w:val="22"/>
          <w:szCs w:val="22"/>
          <w:lang w:val="en-US"/>
        </w:rPr>
        <w:t>LP-WUS could be used for measurements or synchronization in 6G day-1 to improve 6G EE, but coverage and reliability needs to carefully consider.</w:t>
      </w:r>
    </w:p>
    <w:p w14:paraId="200547A9">
      <w:pPr>
        <w:pStyle w:val="5"/>
        <w:rPr>
          <w:rFonts w:hint="default" w:ascii="Times New Roman Bold Italic" w:hAnsi="Times New Roman Bold Italic" w:cs="Times New Roman Bold Italic"/>
          <w:b/>
          <w:bCs/>
          <w:i/>
          <w:iCs/>
          <w:sz w:val="22"/>
          <w:szCs w:val="22"/>
          <w:lang w:val="en-US" w:eastAsia="zh-CN"/>
        </w:rPr>
      </w:pPr>
      <w:r>
        <w:rPr>
          <w:rFonts w:hint="default" w:ascii="Times New Roman Bold Italic" w:hAnsi="Times New Roman Bold Italic" w:cs="Times New Roman Bold Italic"/>
          <w:b/>
          <w:bCs/>
          <w:i/>
          <w:iCs/>
          <w:sz w:val="22"/>
          <w:szCs w:val="22"/>
          <w:lang w:val="en-US"/>
        </w:rPr>
        <w:t xml:space="preserve">Observation </w:t>
      </w:r>
      <w:r>
        <w:rPr>
          <w:rFonts w:hint="eastAsia" w:ascii="Times New Roman Bold Italic" w:hAnsi="Times New Roman Bold Italic" w:cs="Times New Roman Bold Italic"/>
          <w:b/>
          <w:bCs/>
          <w:i/>
          <w:iCs/>
          <w:sz w:val="22"/>
          <w:szCs w:val="22"/>
          <w:lang w:val="en-US" w:eastAsia="zh-CN"/>
        </w:rPr>
        <w:t>35</w:t>
      </w:r>
      <w:r>
        <w:rPr>
          <w:rFonts w:hint="default" w:ascii="Times New Roman Bold Italic" w:hAnsi="Times New Roman Bold Italic" w:cs="Times New Roman Bold Italic"/>
          <w:b/>
          <w:bCs/>
          <w:i/>
          <w:iCs/>
          <w:sz w:val="22"/>
          <w:szCs w:val="22"/>
          <w:lang w:val="en-US"/>
        </w:rPr>
        <w:t xml:space="preserve">: </w:t>
      </w:r>
      <w:r>
        <w:rPr>
          <w:rFonts w:hint="default" w:ascii="Times New Roman Bold Italic" w:hAnsi="Times New Roman Bold Italic" w:cs="Times New Roman Bold Italic"/>
          <w:b/>
          <w:bCs/>
          <w:i/>
          <w:iCs/>
          <w:sz w:val="22"/>
          <w:szCs w:val="22"/>
          <w:lang w:val="en-US" w:eastAsia="zh-CN"/>
        </w:rPr>
        <w:t xml:space="preserve">Two architectures for WUR at UE side could be discovered, </w:t>
      </w:r>
    </w:p>
    <w:p w14:paraId="2DD3D7FC">
      <w:pPr>
        <w:pStyle w:val="5"/>
        <w:numPr>
          <w:ilvl w:val="0"/>
          <w:numId w:val="30"/>
        </w:numPr>
        <w:ind w:left="420" w:leftChars="0" w:hanging="420" w:firstLineChars="0"/>
        <w:rPr>
          <w:rFonts w:hint="default" w:ascii="Times New Roman Bold Italic" w:hAnsi="Times New Roman Bold Italic" w:cs="Times New Roman Bold Italic"/>
          <w:b/>
          <w:bCs/>
          <w:i/>
          <w:iCs/>
          <w:sz w:val="22"/>
          <w:szCs w:val="22"/>
          <w:lang w:val="en-US" w:eastAsia="zh-CN"/>
        </w:rPr>
      </w:pPr>
      <w:r>
        <w:rPr>
          <w:rFonts w:hint="default" w:ascii="Times New Roman Bold Italic" w:hAnsi="Times New Roman Bold Italic" w:cs="Times New Roman Bold Italic"/>
          <w:b/>
          <w:bCs/>
          <w:i/>
          <w:iCs/>
          <w:sz w:val="22"/>
          <w:szCs w:val="22"/>
          <w:lang w:val="en-US"/>
        </w:rPr>
        <w:t>O</w:t>
      </w:r>
      <w:r>
        <w:rPr>
          <w:rFonts w:hint="default" w:ascii="Times New Roman Bold Italic" w:hAnsi="Times New Roman Bold Italic" w:cs="Times New Roman Bold Italic"/>
          <w:b/>
          <w:bCs/>
          <w:i/>
          <w:iCs/>
          <w:sz w:val="22"/>
          <w:szCs w:val="22"/>
        </w:rPr>
        <w:t>ne is a separate, dedicated WUR hardware block that continuously listens for WUS with ultra-low power consumption (as considered in Rel-18)</w:t>
      </w:r>
    </w:p>
    <w:p w14:paraId="48BCCB2E">
      <w:pPr>
        <w:pStyle w:val="5"/>
        <w:numPr>
          <w:ilvl w:val="0"/>
          <w:numId w:val="30"/>
        </w:numPr>
        <w:ind w:left="420" w:leftChars="0" w:hanging="420" w:firstLineChars="0"/>
        <w:rPr>
          <w:rFonts w:hint="default" w:ascii="Times New Roman Bold Italic" w:hAnsi="Times New Roman Bold Italic" w:cs="Times New Roman Bold Italic"/>
          <w:b/>
          <w:bCs/>
          <w:i/>
          <w:iCs/>
          <w:sz w:val="22"/>
          <w:szCs w:val="22"/>
          <w:lang w:val="en-US" w:eastAsia="zh-CN"/>
        </w:rPr>
      </w:pPr>
      <w:r>
        <w:rPr>
          <w:rFonts w:hint="default" w:ascii="Times New Roman Bold Italic" w:hAnsi="Times New Roman Bold Italic" w:cs="Times New Roman Bold Italic"/>
          <w:b/>
          <w:bCs/>
          <w:i/>
          <w:iCs/>
          <w:sz w:val="22"/>
          <w:szCs w:val="22"/>
        </w:rPr>
        <w:t xml:space="preserve">Another </w:t>
      </w:r>
      <w:r>
        <w:rPr>
          <w:rFonts w:hint="default" w:ascii="Times New Roman Bold Italic" w:hAnsi="Times New Roman Bold Italic" w:cs="Times New Roman Bold Italic"/>
          <w:b/>
          <w:bCs/>
          <w:i/>
          <w:iCs/>
          <w:sz w:val="22"/>
          <w:szCs w:val="22"/>
          <w:lang w:val="en-US"/>
        </w:rPr>
        <w:t>one</w:t>
      </w:r>
      <w:r>
        <w:rPr>
          <w:rFonts w:hint="default" w:ascii="Times New Roman Bold Italic" w:hAnsi="Times New Roman Bold Italic" w:cs="Times New Roman Bold Italic"/>
          <w:b/>
          <w:bCs/>
          <w:i/>
          <w:iCs/>
          <w:sz w:val="22"/>
          <w:szCs w:val="22"/>
        </w:rPr>
        <w:t xml:space="preserve"> is a shared receiver approach, where the UE’s main RF chain is cleverly duty-cycled or a scaled-down version of it is used to monitor WUS.</w:t>
      </w:r>
    </w:p>
    <w:p w14:paraId="69579498">
      <w:pPr>
        <w:rPr>
          <w:rFonts w:hint="default" w:ascii="Times New Roman Bold Italic" w:hAnsi="Times New Roman Bold Italic" w:eastAsia="宋体" w:cs="Times New Roman Bold Italic"/>
          <w:b/>
          <w:bCs/>
          <w:i/>
          <w:iCs/>
          <w:sz w:val="22"/>
          <w:szCs w:val="22"/>
          <w:lang w:val="en-US" w:eastAsia="zh-CN"/>
        </w:rPr>
      </w:pPr>
      <w:r>
        <w:rPr>
          <w:rFonts w:hint="default" w:ascii="Times New Roman Bold Italic" w:hAnsi="Times New Roman Bold Italic" w:cs="Times New Roman Bold Italic"/>
          <w:b/>
          <w:bCs/>
          <w:i/>
          <w:iCs/>
          <w:sz w:val="22"/>
          <w:szCs w:val="22"/>
          <w:lang w:val="en-US" w:eastAsia="zh-CN"/>
        </w:rPr>
        <w:t xml:space="preserve">Observation </w:t>
      </w:r>
      <w:r>
        <w:rPr>
          <w:rFonts w:hint="eastAsia" w:ascii="Times New Roman Bold Italic" w:hAnsi="Times New Roman Bold Italic" w:cs="Times New Roman Bold Italic"/>
          <w:b/>
          <w:bCs/>
          <w:i/>
          <w:iCs/>
          <w:sz w:val="22"/>
          <w:szCs w:val="22"/>
          <w:lang w:val="en-US" w:eastAsia="zh-CN"/>
        </w:rPr>
        <w:t>36</w:t>
      </w:r>
      <w:r>
        <w:rPr>
          <w:rFonts w:hint="default" w:ascii="Times New Roman Bold Italic" w:hAnsi="Times New Roman Bold Italic" w:cs="Times New Roman Bold Italic"/>
          <w:b/>
          <w:bCs/>
          <w:i/>
          <w:iCs/>
          <w:sz w:val="22"/>
          <w:szCs w:val="22"/>
          <w:lang w:val="en-US" w:eastAsia="zh-CN"/>
        </w:rPr>
        <w:t xml:space="preserve">: For WUR at UE side, reusing existing hardware technology to avoid extra complexity or cost can support a </w:t>
      </w:r>
      <w:r>
        <w:rPr>
          <w:sz w:val="22"/>
          <w:szCs w:val="22"/>
        </w:rPr>
        <w:t>c</w:t>
      </w:r>
      <w:r>
        <w:rPr>
          <w:rFonts w:hint="default" w:ascii="Times New Roman Bold Italic" w:hAnsi="Times New Roman Bold Italic" w:eastAsia="宋体" w:cs="Times New Roman Bold Italic"/>
          <w:b/>
          <w:bCs/>
          <w:i/>
          <w:iCs/>
          <w:sz w:val="22"/>
          <w:szCs w:val="22"/>
          <w:lang w:val="en-US" w:eastAsia="zh-CN"/>
        </w:rPr>
        <w:t xml:space="preserve">ertain minimal bandwidth and waveform for </w:t>
      </w:r>
      <w:r>
        <w:rPr>
          <w:rFonts w:hint="default" w:ascii="Times New Roman Bold Italic" w:hAnsi="Times New Roman Bold Italic" w:cs="Times New Roman Bold Italic"/>
          <w:b/>
          <w:bCs/>
          <w:i/>
          <w:iCs/>
          <w:sz w:val="22"/>
          <w:szCs w:val="22"/>
          <w:lang w:val="en-US" w:eastAsia="zh-CN"/>
        </w:rPr>
        <w:t>lower-capability devices and eMBB devices</w:t>
      </w:r>
      <w:r>
        <w:rPr>
          <w:rFonts w:hint="default" w:ascii="Times New Roman Bold Italic" w:hAnsi="Times New Roman Bold Italic" w:eastAsia="宋体" w:cs="Times New Roman Bold Italic"/>
          <w:b/>
          <w:bCs/>
          <w:i/>
          <w:iCs/>
          <w:sz w:val="22"/>
          <w:szCs w:val="22"/>
          <w:lang w:val="en-US" w:eastAsia="zh-CN"/>
        </w:rPr>
        <w:t>.</w:t>
      </w:r>
    </w:p>
    <w:p w14:paraId="2994C295">
      <w:pPr>
        <w:rPr>
          <w:rFonts w:ascii="Times New Roman Bold Italic" w:hAnsi="Times New Roman Bold Italic" w:cs="Times New Roman Bold Italic" w:eastAsiaTheme="minorEastAsia"/>
          <w:b/>
          <w:i/>
          <w:iCs/>
          <w:szCs w:val="20"/>
          <w:lang w:eastAsia="zh-CN"/>
        </w:rPr>
      </w:pPr>
      <w:r>
        <w:rPr>
          <w:rFonts w:ascii="Times New Roman Bold Italic" w:hAnsi="Times New Roman Bold Italic" w:cs="Times New Roman Bold Italic" w:eastAsiaTheme="minorEastAsia"/>
          <w:b/>
          <w:i/>
          <w:iCs/>
          <w:szCs w:val="20"/>
          <w:lang w:eastAsia="zh-CN"/>
        </w:rPr>
        <w:t xml:space="preserve">Observation </w:t>
      </w:r>
      <w:r>
        <w:rPr>
          <w:rFonts w:hint="eastAsia" w:ascii="Times New Roman Bold Italic" w:hAnsi="Times New Roman Bold Italic" w:cs="Times New Roman Bold Italic" w:eastAsiaTheme="minorEastAsia"/>
          <w:b/>
          <w:i/>
          <w:iCs/>
          <w:szCs w:val="20"/>
          <w:lang w:val="en-US" w:eastAsia="zh-CN"/>
        </w:rPr>
        <w:t>37</w:t>
      </w:r>
      <w:r>
        <w:rPr>
          <w:rFonts w:ascii="Times New Roman Bold Italic" w:hAnsi="Times New Roman Bold Italic" w:cs="Times New Roman Bold Italic" w:eastAsiaTheme="minorEastAsia"/>
          <w:b/>
          <w:i/>
          <w:iCs/>
          <w:szCs w:val="20"/>
          <w:lang w:eastAsia="zh-CN"/>
        </w:rPr>
        <w:t>: The DRX or PEI/LP-WUS mechanisms have similar functionalities, which results in system complexity.</w:t>
      </w:r>
    </w:p>
    <w:p w14:paraId="317CCD79">
      <w:pPr>
        <w:rPr>
          <w:rFonts w:ascii="Times New Roman Bold Italic" w:hAnsi="Times New Roman Bold Italic" w:cs="Times New Roman Bold Italic"/>
          <w:b/>
          <w:bCs/>
          <w:i/>
          <w:iCs/>
          <w:lang w:eastAsia="zh-CN"/>
        </w:rPr>
      </w:pPr>
      <w:r>
        <w:rPr>
          <w:rFonts w:hint="eastAsia"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3</w:t>
      </w:r>
      <w:r>
        <w:rPr>
          <w:rFonts w:hint="eastAsia" w:ascii="Times New Roman Bold Italic" w:hAnsi="Times New Roman Bold Italic" w:cs="Times New Roman Bold Italic"/>
          <w:b/>
          <w:bCs/>
          <w:i/>
          <w:iCs/>
          <w:lang w:val="en-US" w:eastAsia="zh-CN"/>
        </w:rPr>
        <w:t>8</w:t>
      </w:r>
      <w:r>
        <w:rPr>
          <w:rFonts w:hint="eastAsia" w:ascii="Times New Roman Bold Italic" w:hAnsi="Times New Roman Bold Italic" w:cs="Times New Roman Bold Italic"/>
          <w:b/>
          <w:bCs/>
          <w:i/>
          <w:iCs/>
          <w:lang w:eastAsia="zh-CN"/>
        </w:rPr>
        <w:t>：6G measurement for</w:t>
      </w:r>
      <w:r>
        <w:rPr>
          <w:rFonts w:ascii="Times New Roman Bold Italic" w:hAnsi="Times New Roman Bold Italic" w:cs="Times New Roman Bold Italic"/>
          <w:b/>
          <w:bCs/>
          <w:i/>
          <w:iCs/>
          <w:lang w:eastAsia="zh-CN"/>
        </w:rPr>
        <w:t xml:space="preserve"> energy efficiency</w:t>
      </w:r>
      <w:r>
        <w:rPr>
          <w:rFonts w:hint="eastAsia" w:ascii="Times New Roman Bold Italic" w:hAnsi="Times New Roman Bold Italic" w:cs="Times New Roman Bold Italic"/>
          <w:b/>
          <w:bCs/>
          <w:i/>
          <w:iCs/>
          <w:lang w:eastAsia="zh-CN"/>
        </w:rPr>
        <w:t xml:space="preserve"> faces excessive overhead, poor alignment with DRX/DTX, device capability mismatches, and integration conflicts with sensing and positioning.</w:t>
      </w:r>
    </w:p>
    <w:p w14:paraId="3872EC98">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3</w:t>
      </w:r>
      <w:r>
        <w:rPr>
          <w:rFonts w:hint="eastAsia" w:ascii="Times New Roman Bold Italic" w:hAnsi="Times New Roman Bold Italic" w:cs="Times New Roman Bold Italic"/>
          <w:b/>
          <w:bCs/>
          <w:i/>
          <w:iCs/>
          <w:lang w:val="en-US" w:eastAsia="zh-CN"/>
        </w:rPr>
        <w:t>9</w:t>
      </w:r>
      <w:r>
        <w:rPr>
          <w:rFonts w:ascii="Times New Roman Bold Italic" w:hAnsi="Times New Roman Bold Italic" w:cs="Times New Roman Bold Italic"/>
          <w:b/>
          <w:bCs/>
          <w:i/>
          <w:iCs/>
          <w:lang w:eastAsia="zh-CN"/>
        </w:rPr>
        <w:t>: For multi-carrier operation and single-cell multi-carrier deployment, scaling bandwidth on demand and eliminating duplicate common signals on each frequency band makes 6G systems more power-efficient.</w:t>
      </w:r>
    </w:p>
    <w:p w14:paraId="5F3D291C">
      <w:pPr>
        <w:rPr>
          <w:rFonts w:hint="eastAsia"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 xml:space="preserve">Observation </w:t>
      </w:r>
      <w:r>
        <w:rPr>
          <w:rFonts w:hint="eastAsia" w:ascii="Times New Roman Bold Italic" w:hAnsi="Times New Roman Bold Italic" w:cs="Times New Roman Bold Italic"/>
          <w:b/>
          <w:bCs/>
          <w:i/>
          <w:iCs/>
          <w:lang w:val="en-US" w:eastAsia="zh-CN"/>
        </w:rPr>
        <w:t>40</w:t>
      </w:r>
      <w:r>
        <w:rPr>
          <w:rFonts w:hint="default" w:ascii="Times New Roman Bold Italic" w:hAnsi="Times New Roman Bold Italic" w:eastAsia="宋体" w:cs="Times New Roman Bold Italic"/>
          <w:b/>
          <w:bCs/>
          <w:i/>
          <w:iCs/>
          <w:lang w:val="en-US" w:eastAsia="zh-CN"/>
        </w:rPr>
        <w:t xml:space="preserve">: </w:t>
      </w:r>
      <w:r>
        <w:rPr>
          <w:rFonts w:hint="eastAsia" w:ascii="Times New Roman Bold Italic" w:hAnsi="Times New Roman Bold Italic" w:eastAsia="宋体" w:cs="Times New Roman Bold Italic"/>
          <w:b/>
          <w:bCs/>
          <w:i/>
          <w:iCs/>
          <w:lang w:val="en-US" w:eastAsia="zh-CN"/>
        </w:rPr>
        <w:t xml:space="preserve">In </w:t>
      </w:r>
      <w:r>
        <w:rPr>
          <w:rFonts w:hint="default" w:ascii="Times New Roman Bold Italic" w:hAnsi="Times New Roman Bold Italic" w:eastAsia="宋体" w:cs="Times New Roman Bold Italic"/>
          <w:b/>
          <w:bCs/>
          <w:i/>
          <w:iCs/>
          <w:lang w:val="en-US" w:eastAsia="zh-CN"/>
        </w:rPr>
        <w:t>last meeting, companies have</w:t>
      </w:r>
      <w:r>
        <w:rPr>
          <w:rFonts w:hint="eastAsia" w:ascii="Times New Roman Bold Italic" w:hAnsi="Times New Roman Bold Italic" w:eastAsia="宋体" w:cs="Times New Roman Bold Italic"/>
          <w:b/>
          <w:bCs/>
          <w:i/>
          <w:iCs/>
          <w:lang w:val="en-US" w:eastAsia="zh-CN"/>
        </w:rPr>
        <w:t xml:space="preserve"> </w:t>
      </w:r>
      <w:r>
        <w:rPr>
          <w:rFonts w:hint="default" w:ascii="Times New Roman Bold Italic" w:hAnsi="Times New Roman Bold Italic" w:eastAsia="宋体" w:cs="Times New Roman Bold Italic"/>
          <w:b/>
          <w:bCs/>
          <w:i/>
          <w:iCs/>
          <w:lang w:val="en-US" w:eastAsia="zh-CN"/>
        </w:rPr>
        <w:t>discussed</w:t>
      </w:r>
      <w:r>
        <w:rPr>
          <w:rFonts w:hint="eastAsia" w:ascii="Times New Roman Bold Italic" w:hAnsi="Times New Roman Bold Italic" w:eastAsia="宋体" w:cs="Times New Roman Bold Italic"/>
          <w:b/>
          <w:bCs/>
          <w:i/>
          <w:iCs/>
          <w:lang w:val="en-US" w:eastAsia="zh-CN"/>
        </w:rPr>
        <w:t xml:space="preserve"> and evaluate</w:t>
      </w:r>
      <w:r>
        <w:rPr>
          <w:rFonts w:hint="default" w:ascii="Times New Roman Bold Italic" w:hAnsi="Times New Roman Bold Italic" w:eastAsia="宋体" w:cs="Times New Roman Bold Italic"/>
          <w:b/>
          <w:bCs/>
          <w:i/>
          <w:iCs/>
          <w:lang w:val="en-US" w:eastAsia="zh-CN"/>
        </w:rPr>
        <w:t>d</w:t>
      </w:r>
      <w:r>
        <w:rPr>
          <w:rFonts w:hint="eastAsia" w:ascii="Times New Roman Bold Italic" w:hAnsi="Times New Roman Bold Italic" w:eastAsia="宋体" w:cs="Times New Roman Bold Italic"/>
          <w:b/>
          <w:bCs/>
          <w:i/>
          <w:iCs/>
          <w:lang w:val="en-US" w:eastAsia="zh-CN"/>
        </w:rPr>
        <w:t xml:space="preserve"> UE feedback enhancement for 6GR energy efficiency, reusing or extending the NR UAI framework and introducing additional EE-oriented feedback/indications to enable joint BS-UE power saving.</w:t>
      </w:r>
    </w:p>
    <w:p w14:paraId="1E070C49">
      <w:pPr>
        <w:rPr>
          <w:rFonts w:hint="default" w:ascii="Times New Roman Bold Italic" w:hAnsi="Times New Roman Bold Italic" w:cs="Times New Roman Bold Italic"/>
          <w:b/>
          <w:bCs/>
          <w:i/>
          <w:iCs/>
          <w:lang w:eastAsia="zh-CN"/>
        </w:rPr>
      </w:pPr>
      <w:r>
        <w:rPr>
          <w:rFonts w:hint="default"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val="en-US" w:eastAsia="zh-CN"/>
        </w:rPr>
        <w:t>41</w:t>
      </w:r>
      <w:r>
        <w:rPr>
          <w:rFonts w:hint="default" w:ascii="Times New Roman Bold Italic" w:hAnsi="Times New Roman Bold Italic" w:cs="Times New Roman Bold Italic"/>
          <w:b/>
          <w:bCs/>
          <w:i/>
          <w:iCs/>
          <w:lang w:eastAsia="zh-CN"/>
        </w:rPr>
        <w:t>: Energy improvement in spatial domain would be achieved by fewer active panels/Rx chains and fewer active beams on the UE and fewer ports/elements, muted TxRUs, fewer beams, and muted TRPs on the base station.</w:t>
      </w:r>
    </w:p>
    <w:p w14:paraId="782E24B2">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val="en-US" w:eastAsia="zh-CN"/>
        </w:rPr>
        <w:t>42</w:t>
      </w:r>
      <w:r>
        <w:rPr>
          <w:rFonts w:ascii="Times New Roman Bold Italic" w:hAnsi="Times New Roman Bold Italic" w:cs="Times New Roman Bold Italic"/>
          <w:b/>
          <w:bCs/>
          <w:i/>
          <w:iCs/>
          <w:lang w:eastAsia="zh-CN"/>
        </w:rPr>
        <w:t>: Lower PAPR enables PAs to run closer to saturation, directly improving</w:t>
      </w:r>
      <w:r>
        <w:rPr>
          <w:rFonts w:hint="eastAsia" w:ascii="Times New Roman Bold Italic" w:hAnsi="Times New Roman Bold Italic" w:cs="Times New Roman Bold Italic"/>
          <w:b/>
          <w:bCs/>
          <w:i/>
          <w:iCs/>
          <w:lang w:eastAsia="zh-CN"/>
        </w:rPr>
        <w:t xml:space="preserve"> </w:t>
      </w:r>
      <w:r>
        <w:rPr>
          <w:rFonts w:ascii="Times New Roman Bold Italic" w:hAnsi="Times New Roman Bold Italic" w:cs="Times New Roman Bold Italic"/>
          <w:b/>
          <w:bCs/>
          <w:i/>
          <w:iCs/>
          <w:lang w:eastAsia="zh-CN"/>
        </w:rPr>
        <w:t>energy efficiency (bits/J), especially critical for battery-powered UEs and high-frequency BS transmitters.</w:t>
      </w:r>
    </w:p>
    <w:p w14:paraId="58FF0495">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4</w:t>
      </w:r>
      <w:r>
        <w:rPr>
          <w:rFonts w:hint="eastAsia" w:ascii="Times New Roman Bold Italic" w:hAnsi="Times New Roman Bold Italic" w:cs="Times New Roman Bold Italic"/>
          <w:b/>
          <w:bCs/>
          <w:i/>
          <w:iCs/>
          <w:lang w:val="en-US" w:eastAsia="zh-CN"/>
        </w:rPr>
        <w:t>3</w:t>
      </w:r>
      <w:r>
        <w:rPr>
          <w:rFonts w:ascii="Times New Roman Bold Italic" w:hAnsi="Times New Roman Bold Italic" w:cs="Times New Roman Bold Italic"/>
          <w:b/>
          <w:bCs/>
          <w:i/>
          <w:iCs/>
          <w:lang w:eastAsia="zh-CN"/>
        </w:rPr>
        <w:t xml:space="preserve">: </w:t>
      </w:r>
      <w:r>
        <w:rPr>
          <w:rFonts w:hint="eastAsia" w:ascii="Times New Roman Bold Italic" w:hAnsi="Times New Roman Bold Italic" w:cs="Times New Roman Bold Italic"/>
          <w:b/>
          <w:bCs/>
          <w:i/>
          <w:iCs/>
          <w:lang w:eastAsia="zh-CN"/>
        </w:rPr>
        <w:t>E</w:t>
      </w:r>
      <w:r>
        <w:rPr>
          <w:rFonts w:ascii="Times New Roman Bold Italic" w:hAnsi="Times New Roman Bold Italic" w:cs="Times New Roman Bold Italic"/>
          <w:b/>
          <w:bCs/>
          <w:i/>
          <w:iCs/>
          <w:lang w:eastAsia="zh-CN"/>
        </w:rPr>
        <w:t>xpanded deep sleep for both BS and UE PAs, could have some benefits of reducing interference and extending device runtime.</w:t>
      </w:r>
    </w:p>
    <w:p w14:paraId="786019B6">
      <w:pPr>
        <w:rPr>
          <w:lang w:eastAsia="zh-CN"/>
        </w:rPr>
      </w:pPr>
      <w:r>
        <w:rPr>
          <w:rFonts w:hint="eastAsia"/>
          <w:b/>
          <w:bCs/>
          <w:i/>
          <w:iCs/>
          <w:lang w:eastAsia="zh-CN"/>
        </w:rPr>
        <w:t xml:space="preserve">Observation </w:t>
      </w:r>
      <w:r>
        <w:rPr>
          <w:rFonts w:hint="default"/>
          <w:b/>
          <w:bCs/>
          <w:i/>
          <w:iCs/>
          <w:lang w:val="en-US" w:eastAsia="zh-CN"/>
        </w:rPr>
        <w:t>4</w:t>
      </w:r>
      <w:r>
        <w:rPr>
          <w:rFonts w:hint="eastAsia"/>
          <w:b/>
          <w:bCs/>
          <w:i/>
          <w:iCs/>
          <w:lang w:val="en-US" w:eastAsia="zh-CN"/>
        </w:rPr>
        <w:t>4</w:t>
      </w:r>
      <w:r>
        <w:rPr>
          <w:rFonts w:hint="eastAsia"/>
          <w:b/>
          <w:bCs/>
          <w:i/>
          <w:iCs/>
          <w:lang w:eastAsia="zh-CN"/>
        </w:rPr>
        <w:t>：Adaptive emi</w:t>
      </w:r>
      <w:r>
        <w:rPr>
          <w:b/>
          <w:bCs/>
          <w:i/>
          <w:iCs/>
          <w:lang w:eastAsia="zh-CN"/>
        </w:rPr>
        <w:t xml:space="preserve">ssion masks and context-based EVM can allow more non-linearity and thus higher efficiency. Also, power classes may expand to cover </w:t>
      </w:r>
      <w:r>
        <w:rPr>
          <w:rFonts w:hint="eastAsia"/>
          <w:b/>
          <w:bCs/>
          <w:i/>
          <w:iCs/>
          <w:lang w:eastAsia="zh-CN"/>
        </w:rPr>
        <w:t>LPWA devices</w:t>
      </w:r>
      <w:r>
        <w:rPr>
          <w:b/>
          <w:bCs/>
          <w:i/>
          <w:iCs/>
          <w:lang w:eastAsia="zh-CN"/>
        </w:rPr>
        <w:t xml:space="preserve"> and high-power specialized UEs, with efficiency benchmarks.</w:t>
      </w:r>
    </w:p>
    <w:p w14:paraId="21265641">
      <w:pPr>
        <w:rPr>
          <w:iCs/>
          <w:lang w:eastAsia="zh-CN"/>
        </w:rPr>
      </w:pPr>
      <w:r>
        <w:rPr>
          <w:rFonts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4</w:t>
      </w:r>
      <w:r>
        <w:rPr>
          <w:rFonts w:hint="eastAsia" w:ascii="Times New Roman Bold Italic" w:hAnsi="Times New Roman Bold Italic" w:cs="Times New Roman Bold Italic"/>
          <w:b/>
          <w:bCs/>
          <w:i/>
          <w:iCs/>
          <w:lang w:val="en-US" w:eastAsia="zh-CN"/>
        </w:rPr>
        <w:t>5</w:t>
      </w:r>
      <w:r>
        <w:rPr>
          <w:rFonts w:ascii="Times New Roman Bold Italic" w:hAnsi="Times New Roman Bold Italic" w:cs="Times New Roman Bold Italic"/>
          <w:b/>
          <w:bCs/>
          <w:i/>
          <w:iCs/>
          <w:lang w:eastAsia="zh-CN"/>
        </w:rPr>
        <w:t>: Some physical air interface techniques such as SC-FDMA, constant-envelope modulation, low-complexity FEC, deep sleep frame design, and robust wake-up sequences is needed for reducing UE power consumption, improving PA efficiency, and enabling ultra-low-power operation across diverse 6G use cases.</w:t>
      </w:r>
      <w:bookmarkStart w:id="25" w:name="_GoBack"/>
      <w:bookmarkEnd w:id="25"/>
    </w:p>
    <w:p w14:paraId="7D374A88">
      <w:pPr>
        <w:rPr>
          <w:iCs/>
          <w:lang w:eastAsia="zh-CN"/>
        </w:rPr>
      </w:pPr>
    </w:p>
    <w:p w14:paraId="1ECA7C7D">
      <w:pPr>
        <w:rPr>
          <w:rFonts w:hint="default" w:ascii="Times New Roman Bold Italic" w:hAnsi="Times New Roman Bold Italic" w:cs="Times New Roman Bold Italic"/>
          <w:b/>
          <w:bCs/>
          <w:i/>
          <w:iCs/>
          <w:lang w:val="en-US" w:eastAsia="zh-CN"/>
        </w:rPr>
      </w:pPr>
      <w:r>
        <w:rPr>
          <w:rFonts w:hint="eastAsia" w:ascii="Times New Roman Bold Italic" w:hAnsi="Times New Roman Bold Italic" w:cs="Times New Roman Bold Italic"/>
          <w:b/>
          <w:bCs/>
          <w:i/>
          <w:iCs/>
          <w:lang w:val="en-US" w:eastAsia="zh-CN"/>
        </w:rPr>
        <w:t>Proposal 28</w:t>
      </w:r>
      <w:r>
        <w:rPr>
          <w:rFonts w:hint="default" w:ascii="Times New Roman Bold Italic" w:hAnsi="Times New Roman Bold Italic" w:cs="Times New Roman Bold Italic"/>
          <w:b/>
          <w:bCs/>
          <w:i/>
          <w:iCs/>
          <w:lang w:val="en-US" w:eastAsia="zh-CN"/>
        </w:rPr>
        <w:t xml:space="preserve">: Study potential </w:t>
      </w:r>
      <w:r>
        <w:rPr>
          <w:rFonts w:hint="eastAsia" w:ascii="Times New Roman Bold Italic" w:hAnsi="Times New Roman Bold Italic" w:cs="Times New Roman Bold Italic"/>
          <w:b/>
          <w:bCs/>
          <w:i/>
          <w:iCs/>
          <w:lang w:val="en-US" w:eastAsia="zh-CN"/>
        </w:rPr>
        <w:t xml:space="preserve">schemes </w:t>
      </w:r>
      <w:r>
        <w:rPr>
          <w:rFonts w:hint="default" w:ascii="Times New Roman Bold Italic" w:hAnsi="Times New Roman Bold Italic" w:cs="Times New Roman Bold Italic"/>
          <w:b/>
          <w:bCs/>
          <w:i/>
          <w:iCs/>
          <w:lang w:val="en-US" w:eastAsia="zh-CN"/>
        </w:rPr>
        <w:t xml:space="preserve">to reduce unnecessary PDCCH monitoring and monitoring complexity in 6GR EE topic, at least including SSSG switching, PDCCH skipping, WUS (LP-WUS or PEI), etc. </w:t>
      </w:r>
    </w:p>
    <w:p w14:paraId="454416B0">
      <w:pPr>
        <w:rPr>
          <w:rFonts w:hint="default"/>
          <w:lang w:val="en-US" w:eastAsia="zh-CN"/>
        </w:rPr>
      </w:pPr>
      <w:r>
        <w:rPr>
          <w:rFonts w:hint="default" w:ascii="Times New Roman Bold Italic" w:hAnsi="Times New Roman Bold Italic" w:cs="Times New Roman Bold Italic"/>
          <w:b/>
          <w:bCs/>
          <w:i/>
          <w:iCs/>
          <w:lang w:val="en-US" w:eastAsia="zh-CN"/>
        </w:rPr>
        <w:t xml:space="preserve">Proposal </w:t>
      </w:r>
      <w:r>
        <w:rPr>
          <w:rFonts w:hint="eastAsia" w:ascii="Times New Roman Bold Italic" w:hAnsi="Times New Roman Bold Italic" w:cs="Times New Roman Bold Italic"/>
          <w:b/>
          <w:bCs/>
          <w:i/>
          <w:iCs/>
          <w:lang w:val="en-US" w:eastAsia="zh-CN"/>
        </w:rPr>
        <w:t>29</w:t>
      </w:r>
      <w:r>
        <w:rPr>
          <w:rFonts w:hint="default" w:ascii="Times New Roman Bold Italic" w:hAnsi="Times New Roman Bold Italic" w:cs="Times New Roman Bold Italic"/>
          <w:b/>
          <w:bCs/>
          <w:i/>
          <w:iCs/>
          <w:lang w:val="en-US" w:eastAsia="zh-CN"/>
        </w:rPr>
        <w:t>: Study whether/how to consider indication of PDCCH occasion count or how to reduce the number of blind decoding or whether/how to design two-stages CORESET/search space with on-demand requeirement.</w:t>
      </w:r>
    </w:p>
    <w:p w14:paraId="44C1AB4E">
      <w:pPr>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 xml:space="preserve">Proposal </w:t>
      </w:r>
      <w:r>
        <w:rPr>
          <w:rFonts w:hint="eastAsia" w:ascii="Times New Roman Bold Italic" w:hAnsi="Times New Roman Bold Italic" w:cs="Times New Roman Bold Italic"/>
          <w:b/>
          <w:bCs/>
          <w:i/>
          <w:iCs/>
          <w:lang w:val="en-US" w:eastAsia="zh-CN"/>
        </w:rPr>
        <w:t>30</w:t>
      </w:r>
      <w:r>
        <w:rPr>
          <w:rFonts w:hint="default" w:ascii="Times New Roman Bold Italic" w:hAnsi="Times New Roman Bold Italic" w:eastAsia="宋体" w:cs="Times New Roman Bold Italic"/>
          <w:b/>
          <w:bCs/>
          <w:i/>
          <w:iCs/>
          <w:lang w:val="en-US" w:eastAsia="zh-CN"/>
        </w:rPr>
        <w:t>: Study and evaluate power consumption reduction mechanism(s) for UE's UL data transmission, taking into account the following enhancement aspects:</w:t>
      </w:r>
    </w:p>
    <w:p w14:paraId="3409A130">
      <w:pPr>
        <w:numPr>
          <w:ilvl w:val="0"/>
          <w:numId w:val="27"/>
        </w:numPr>
        <w:ind w:left="840" w:leftChars="0" w:hanging="420" w:firstLineChars="0"/>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Selective uplink feedback and UCI optimization</w:t>
      </w:r>
    </w:p>
    <w:p w14:paraId="734073E8">
      <w:pPr>
        <w:numPr>
          <w:ilvl w:val="0"/>
          <w:numId w:val="27"/>
        </w:numPr>
        <w:ind w:left="840" w:leftChars="0" w:hanging="420" w:firstLineChars="0"/>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Efficient uplink resource utilization and scheduling including 2-stage</w:t>
      </w:r>
      <w:r>
        <w:rPr>
          <w:rFonts w:hint="default" w:ascii="Times New Roman Bold Italic" w:hAnsi="Times New Roman Bold Italic" w:cs="Times New Roman Bold Italic"/>
          <w:b/>
          <w:bCs/>
          <w:i/>
          <w:iCs/>
          <w:lang w:val="en-US" w:eastAsia="zh-CN"/>
        </w:rPr>
        <w:t>s</w:t>
      </w:r>
      <w:r>
        <w:rPr>
          <w:rFonts w:hint="default" w:ascii="Times New Roman Bold Italic" w:hAnsi="Times New Roman Bold Italic" w:eastAsia="宋体" w:cs="Times New Roman Bold Italic"/>
          <w:b/>
          <w:bCs/>
          <w:i/>
          <w:iCs/>
          <w:lang w:val="en-US" w:eastAsia="zh-CN"/>
        </w:rPr>
        <w:t xml:space="preserve"> UCI</w:t>
      </w:r>
    </w:p>
    <w:p w14:paraId="1A2CABAF">
      <w:pPr>
        <w:numPr>
          <w:ilvl w:val="1"/>
          <w:numId w:val="27"/>
        </w:numPr>
        <w:ind w:left="1260" w:leftChars="0" w:hanging="420" w:firstLineChars="0"/>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cs="Times New Roman Bold Italic"/>
          <w:b/>
          <w:bCs/>
          <w:i/>
          <w:iCs/>
          <w:lang w:val="en-US" w:eastAsia="zh-CN"/>
        </w:rPr>
        <w:t>UL transmissions by the scheduler</w:t>
      </w:r>
      <w:r>
        <w:rPr>
          <w:rFonts w:hint="eastAsia" w:ascii="Times New Roman Bold Italic" w:hAnsi="Times New Roman Bold Italic" w:cs="Times New Roman Bold Italic"/>
          <w:b/>
          <w:bCs/>
          <w:i/>
          <w:iCs/>
          <w:lang w:val="en-US" w:eastAsia="zh-CN"/>
        </w:rPr>
        <w:t xml:space="preserve"> with</w:t>
      </w:r>
      <w:r>
        <w:rPr>
          <w:rFonts w:hint="default" w:ascii="Times New Roman Bold Italic" w:hAnsi="Times New Roman Bold Italic" w:cs="Times New Roman Bold Italic"/>
          <w:b/>
          <w:bCs/>
          <w:i/>
          <w:iCs/>
          <w:lang w:val="en-US" w:eastAsia="zh-CN"/>
        </w:rPr>
        <w:t>out late changes</w:t>
      </w:r>
    </w:p>
    <w:p w14:paraId="504B4A62">
      <w:pPr>
        <w:numPr>
          <w:ilvl w:val="1"/>
          <w:numId w:val="27"/>
        </w:numPr>
        <w:ind w:left="1260" w:leftChars="0" w:hanging="420" w:firstLineChars="0"/>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cs="Times New Roman Bold Italic"/>
          <w:b/>
          <w:bCs/>
          <w:i/>
          <w:iCs/>
          <w:lang w:val="en-US" w:eastAsia="zh-CN"/>
        </w:rPr>
        <w:t xml:space="preserve">Other methods, e.g., </w:t>
      </w:r>
      <w:r>
        <w:rPr>
          <w:rFonts w:hint="default" w:ascii="Times New Roman Bold Italic" w:hAnsi="Times New Roman Bold Italic" w:cs="Times New Roman Bold Italic"/>
          <w:b/>
          <w:bCs/>
          <w:i/>
          <w:iCs/>
          <w:highlight w:val="none"/>
          <w:lang w:val="en-US" w:eastAsia="zh-CN"/>
        </w:rPr>
        <w:t>resources mapping based on other signal(s).</w:t>
      </w:r>
    </w:p>
    <w:p w14:paraId="239FB909">
      <w:pPr>
        <w:numPr>
          <w:ilvl w:val="0"/>
          <w:numId w:val="27"/>
        </w:numPr>
        <w:ind w:left="840" w:leftChars="0" w:hanging="420" w:firstLineChars="0"/>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Signal-type dependent resource mapping and logical partitioning</w:t>
      </w:r>
    </w:p>
    <w:p w14:paraId="0B5EF3EE">
      <w:pPr>
        <w:numPr>
          <w:ilvl w:val="0"/>
          <w:numId w:val="27"/>
        </w:numPr>
        <w:ind w:left="840" w:leftChars="0" w:hanging="420" w:firstLineChars="0"/>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Autonomous uplink transmissions and resource pooling based on UE capability or traffic</w:t>
      </w:r>
    </w:p>
    <w:p w14:paraId="44F8FD6D">
      <w:pPr>
        <w:rPr>
          <w:rFonts w:hint="default" w:ascii="Times New Roman Bold Italic" w:hAnsi="Times New Roman Bold Italic" w:eastAsia="宋体" w:cs="Times New Roman Bold Italic"/>
          <w:b/>
          <w:bCs/>
          <w:i/>
          <w:iCs/>
          <w:lang w:val="en-US" w:eastAsia="zh-CN"/>
        </w:rPr>
      </w:pPr>
    </w:p>
    <w:p w14:paraId="23DC5B20">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Proposal </w:t>
      </w:r>
      <w:r>
        <w:rPr>
          <w:rFonts w:hint="eastAsia" w:ascii="Times New Roman Bold Italic" w:hAnsi="Times New Roman Bold Italic" w:cs="Times New Roman Bold Italic"/>
          <w:b/>
          <w:bCs/>
          <w:i/>
          <w:iCs/>
          <w:lang w:val="en-US" w:eastAsia="zh-CN"/>
        </w:rPr>
        <w:t>31</w:t>
      </w:r>
      <w:r>
        <w:rPr>
          <w:rFonts w:ascii="Times New Roman Bold Italic" w:hAnsi="Times New Roman Bold Italic" w:cs="Times New Roman Bold Italic"/>
          <w:b/>
          <w:bCs/>
          <w:i/>
          <w:iCs/>
          <w:lang w:eastAsia="zh-CN"/>
        </w:rPr>
        <w:t>: Study more efficient UE DRX both in idle mode and connected mode, including the following aspects:</w:t>
      </w:r>
    </w:p>
    <w:p w14:paraId="54C4D1E3">
      <w:pPr>
        <w:pStyle w:val="51"/>
        <w:numPr>
          <w:ilvl w:val="0"/>
          <w:numId w:val="28"/>
        </w:numPr>
        <w:rPr>
          <w:rFonts w:ascii="Times New Roman Bold Italic" w:hAnsi="Times New Roman Bold Italic" w:cs="Times New Roman Bold Italic"/>
          <w:b/>
          <w:bCs/>
          <w:i/>
          <w:iCs/>
          <w:sz w:val="22"/>
          <w:szCs w:val="22"/>
          <w:lang w:eastAsia="zh-CN"/>
        </w:rPr>
      </w:pPr>
      <w:r>
        <w:rPr>
          <w:rFonts w:ascii="Times New Roman Bold Italic" w:hAnsi="Times New Roman Bold Italic" w:cs="Times New Roman Bold Italic"/>
          <w:b/>
          <w:bCs/>
          <w:i/>
          <w:iCs/>
          <w:sz w:val="22"/>
          <w:szCs w:val="22"/>
          <w:lang w:eastAsia="zh-CN"/>
        </w:rPr>
        <w:t>co-operating with wake-up signal</w:t>
      </w:r>
    </w:p>
    <w:p w14:paraId="66AC9B62">
      <w:pPr>
        <w:pStyle w:val="51"/>
        <w:numPr>
          <w:ilvl w:val="0"/>
          <w:numId w:val="28"/>
        </w:numPr>
        <w:rPr>
          <w:rFonts w:ascii="Times New Roman Bold Italic" w:hAnsi="Times New Roman Bold Italic" w:cs="Times New Roman Bold Italic"/>
          <w:b/>
          <w:bCs/>
          <w:i/>
          <w:iCs/>
          <w:sz w:val="22"/>
          <w:szCs w:val="22"/>
          <w:lang w:eastAsia="zh-CN"/>
        </w:rPr>
      </w:pPr>
      <w:r>
        <w:rPr>
          <w:rFonts w:ascii="Times New Roman Bold Italic" w:hAnsi="Times New Roman Bold Italic" w:cs="Times New Roman Bold Italic"/>
          <w:b/>
          <w:bCs/>
          <w:i/>
          <w:iCs/>
          <w:sz w:val="22"/>
          <w:szCs w:val="22"/>
          <w:lang w:eastAsia="zh-CN"/>
        </w:rPr>
        <w:t>DRX adaptation, e.g., parameters adaptation</w:t>
      </w:r>
    </w:p>
    <w:p w14:paraId="3D4FEC6E">
      <w:pPr>
        <w:pStyle w:val="51"/>
        <w:numPr>
          <w:ilvl w:val="0"/>
          <w:numId w:val="28"/>
        </w:numPr>
        <w:rPr>
          <w:rFonts w:ascii="Times New Roman Bold Italic" w:hAnsi="Times New Roman Bold Italic" w:cs="Times New Roman Bold Italic"/>
          <w:b/>
          <w:bCs/>
          <w:i/>
          <w:iCs/>
          <w:sz w:val="22"/>
          <w:szCs w:val="22"/>
          <w:lang w:eastAsia="zh-CN"/>
        </w:rPr>
      </w:pPr>
      <w:r>
        <w:rPr>
          <w:rFonts w:ascii="Times New Roman Bold Italic" w:hAnsi="Times New Roman Bold Italic" w:cs="Times New Roman Bold Italic"/>
          <w:b/>
          <w:bCs/>
          <w:i/>
          <w:iCs/>
          <w:sz w:val="22"/>
          <w:szCs w:val="22"/>
          <w:lang w:eastAsia="zh-CN"/>
        </w:rPr>
        <w:t>Impact on varies device type and varies traffic types</w:t>
      </w:r>
    </w:p>
    <w:p w14:paraId="3018E509">
      <w:pPr>
        <w:pStyle w:val="51"/>
        <w:numPr>
          <w:ilvl w:val="0"/>
          <w:numId w:val="28"/>
        </w:numPr>
        <w:rPr>
          <w:rFonts w:ascii="Times New Roman Bold Italic" w:hAnsi="Times New Roman Bold Italic" w:cs="Times New Roman Bold Italic"/>
          <w:b/>
          <w:bCs/>
          <w:i/>
          <w:iCs/>
          <w:sz w:val="22"/>
          <w:szCs w:val="22"/>
          <w:lang w:eastAsia="zh-CN"/>
        </w:rPr>
      </w:pPr>
      <w:r>
        <w:rPr>
          <w:rFonts w:ascii="Times New Roman Bold Italic" w:hAnsi="Times New Roman Bold Italic" w:cs="Times New Roman Bold Italic"/>
          <w:b/>
          <w:bCs/>
          <w:i/>
          <w:iCs/>
          <w:sz w:val="22"/>
          <w:szCs w:val="22"/>
          <w:lang w:eastAsia="zh-CN"/>
        </w:rPr>
        <w:t>UE DRX in idle mode and connected mode can be studied separately.</w:t>
      </w:r>
    </w:p>
    <w:p w14:paraId="5F05E7CE">
      <w:pPr>
        <w:pStyle w:val="51"/>
        <w:numPr>
          <w:numId w:val="0"/>
        </w:numPr>
        <w:ind w:left="108" w:leftChars="0"/>
        <w:rPr>
          <w:rFonts w:ascii="Times New Roman Bold Italic" w:hAnsi="Times New Roman Bold Italic" w:cs="Times New Roman Bold Italic"/>
          <w:b/>
          <w:bCs/>
          <w:i/>
          <w:iCs/>
          <w:sz w:val="22"/>
          <w:szCs w:val="22"/>
          <w:lang w:eastAsia="zh-CN"/>
        </w:rPr>
      </w:pPr>
    </w:p>
    <w:p w14:paraId="5A476944">
      <w:pPr>
        <w:rPr>
          <w:rFonts w:hint="default" w:ascii="Times New Roman Bold Italic" w:hAnsi="Times New Roman Bold Italic" w:eastAsia="宋体" w:cs="Times New Roman Bold Italic"/>
          <w:b/>
          <w:bCs/>
          <w:i/>
          <w:iCs/>
          <w:sz w:val="22"/>
          <w:szCs w:val="22"/>
          <w:lang w:val="en-US" w:eastAsia="zh-CN"/>
        </w:rPr>
      </w:pPr>
      <w:r>
        <w:rPr>
          <w:rFonts w:hint="default" w:ascii="Times New Roman Bold Italic" w:hAnsi="Times New Roman Bold Italic" w:eastAsia="宋体" w:cs="Times New Roman Bold Italic"/>
          <w:b/>
          <w:bCs/>
          <w:i/>
          <w:iCs/>
          <w:sz w:val="22"/>
          <w:szCs w:val="22"/>
          <w:lang w:val="en-US" w:eastAsia="zh-CN"/>
        </w:rPr>
        <w:t xml:space="preserve">Proposal </w:t>
      </w:r>
      <w:r>
        <w:rPr>
          <w:rFonts w:hint="eastAsia" w:ascii="Times New Roman Bold Italic" w:hAnsi="Times New Roman Bold Italic" w:cs="Times New Roman Bold Italic"/>
          <w:b/>
          <w:bCs/>
          <w:i/>
          <w:iCs/>
          <w:sz w:val="22"/>
          <w:szCs w:val="22"/>
          <w:lang w:val="en-US" w:eastAsia="zh-CN"/>
        </w:rPr>
        <w:t>32</w:t>
      </w:r>
      <w:r>
        <w:rPr>
          <w:rFonts w:hint="default" w:ascii="Times New Roman Bold Italic" w:hAnsi="Times New Roman Bold Italic" w:eastAsia="宋体" w:cs="Times New Roman Bold Italic"/>
          <w:b/>
          <w:bCs/>
          <w:i/>
          <w:iCs/>
          <w:sz w:val="22"/>
          <w:szCs w:val="22"/>
          <w:lang w:val="en-US" w:eastAsia="zh-CN"/>
        </w:rPr>
        <w:t xml:space="preserve">: Consider at least two architectures with measurement or monitoring functionalities for </w:t>
      </w:r>
      <w:r>
        <w:rPr>
          <w:rFonts w:hint="default" w:ascii="Times New Roman Bold Italic" w:hAnsi="Times New Roman Bold Italic" w:cs="Times New Roman Bold Italic"/>
          <w:b/>
          <w:bCs/>
          <w:i/>
          <w:iCs/>
          <w:sz w:val="22"/>
          <w:szCs w:val="22"/>
          <w:lang w:val="en-US" w:eastAsia="zh-CN"/>
        </w:rPr>
        <w:t>LP-</w:t>
      </w:r>
      <w:r>
        <w:rPr>
          <w:rFonts w:hint="default" w:ascii="Times New Roman Bold Italic" w:hAnsi="Times New Roman Bold Italic" w:eastAsia="宋体" w:cs="Times New Roman Bold Italic"/>
          <w:b/>
          <w:bCs/>
          <w:i/>
          <w:iCs/>
          <w:sz w:val="22"/>
          <w:szCs w:val="22"/>
          <w:lang w:val="en-US" w:eastAsia="zh-CN"/>
        </w:rPr>
        <w:t>WUS aspects</w:t>
      </w:r>
    </w:p>
    <w:p w14:paraId="40567978">
      <w:pPr>
        <w:pStyle w:val="5"/>
        <w:numPr>
          <w:ilvl w:val="0"/>
          <w:numId w:val="30"/>
        </w:numPr>
        <w:ind w:left="420" w:leftChars="0" w:hanging="420" w:firstLineChars="0"/>
        <w:rPr>
          <w:rFonts w:hint="default" w:ascii="Times New Roman Bold Italic" w:hAnsi="Times New Roman Bold Italic" w:cs="Times New Roman Bold Italic"/>
          <w:b/>
          <w:bCs/>
          <w:i/>
          <w:iCs/>
          <w:sz w:val="22"/>
          <w:szCs w:val="22"/>
          <w:lang w:val="en-US" w:eastAsia="zh-CN"/>
        </w:rPr>
      </w:pPr>
      <w:r>
        <w:rPr>
          <w:rFonts w:hint="default" w:ascii="Times New Roman Bold Italic" w:hAnsi="Times New Roman Bold Italic" w:cs="Times New Roman Bold Italic"/>
          <w:b/>
          <w:bCs/>
          <w:i/>
          <w:iCs/>
          <w:sz w:val="22"/>
          <w:szCs w:val="22"/>
          <w:lang w:val="en-US"/>
        </w:rPr>
        <w:t>S</w:t>
      </w:r>
      <w:r>
        <w:rPr>
          <w:rFonts w:hint="default" w:ascii="Times New Roman Bold Italic" w:hAnsi="Times New Roman Bold Italic" w:cs="Times New Roman Bold Italic"/>
          <w:b/>
          <w:bCs/>
          <w:i/>
          <w:iCs/>
          <w:sz w:val="22"/>
          <w:szCs w:val="22"/>
        </w:rPr>
        <w:t>eparate</w:t>
      </w:r>
      <w:r>
        <w:rPr>
          <w:rFonts w:hint="default" w:ascii="Times New Roman Bold Italic" w:hAnsi="Times New Roman Bold Italic" w:cs="Times New Roman Bold Italic"/>
          <w:b/>
          <w:bCs/>
          <w:i/>
          <w:iCs/>
          <w:sz w:val="22"/>
          <w:szCs w:val="22"/>
          <w:lang w:val="en-US"/>
        </w:rPr>
        <w:t xml:space="preserve"> architecture for WUR and MR </w:t>
      </w:r>
      <w:r>
        <w:rPr>
          <w:rFonts w:hint="default" w:ascii="Times New Roman Bold Italic" w:hAnsi="Times New Roman Bold Italic" w:cs="Times New Roman Bold Italic"/>
          <w:b/>
          <w:bCs/>
          <w:i/>
          <w:iCs/>
          <w:sz w:val="22"/>
          <w:szCs w:val="22"/>
        </w:rPr>
        <w:t>as considered in Rel-18</w:t>
      </w:r>
    </w:p>
    <w:p w14:paraId="2AA7C547">
      <w:pPr>
        <w:pStyle w:val="5"/>
        <w:numPr>
          <w:ilvl w:val="0"/>
          <w:numId w:val="30"/>
        </w:numPr>
        <w:ind w:left="420" w:leftChars="0" w:hanging="420" w:firstLineChars="0"/>
        <w:rPr>
          <w:rFonts w:hint="default" w:ascii="Times New Roman Bold Italic" w:hAnsi="Times New Roman Bold Italic" w:eastAsia="宋体" w:cs="Times New Roman Bold Italic"/>
          <w:b/>
          <w:bCs/>
          <w:i/>
          <w:iCs/>
          <w:sz w:val="22"/>
          <w:szCs w:val="22"/>
          <w:lang w:val="en-US" w:eastAsia="zh-CN"/>
        </w:rPr>
      </w:pPr>
      <w:r>
        <w:rPr>
          <w:rFonts w:hint="default" w:ascii="Times New Roman Bold Italic" w:hAnsi="Times New Roman Bold Italic" w:cs="Times New Roman Bold Italic"/>
          <w:b/>
          <w:bCs/>
          <w:i/>
          <w:iCs/>
          <w:sz w:val="22"/>
          <w:szCs w:val="22"/>
          <w:lang w:val="en-US"/>
        </w:rPr>
        <w:t>Partially s</w:t>
      </w:r>
      <w:r>
        <w:rPr>
          <w:rFonts w:hint="default" w:ascii="Times New Roman Bold Italic" w:hAnsi="Times New Roman Bold Italic" w:cs="Times New Roman Bold Italic"/>
          <w:b/>
          <w:bCs/>
          <w:i/>
          <w:iCs/>
          <w:sz w:val="22"/>
          <w:szCs w:val="22"/>
        </w:rPr>
        <w:t>hared receiver</w:t>
      </w:r>
      <w:r>
        <w:rPr>
          <w:rFonts w:hint="default" w:ascii="Times New Roman Bold Italic" w:hAnsi="Times New Roman Bold Italic" w:cs="Times New Roman Bold Italic"/>
          <w:b/>
          <w:bCs/>
          <w:i/>
          <w:iCs/>
          <w:sz w:val="22"/>
          <w:szCs w:val="22"/>
          <w:lang w:val="en-US"/>
        </w:rPr>
        <w:t xml:space="preserve"> for WUR and MR to </w:t>
      </w:r>
      <w:r>
        <w:rPr>
          <w:rFonts w:hint="default" w:ascii="Times New Roman Bold Italic" w:hAnsi="Times New Roman Bold Italic" w:cs="Times New Roman Bold Italic"/>
          <w:b/>
          <w:bCs/>
          <w:i/>
          <w:iCs/>
          <w:sz w:val="22"/>
          <w:szCs w:val="22"/>
          <w:lang w:val="en-US" w:eastAsia="zh-CN"/>
        </w:rPr>
        <w:t xml:space="preserve">avoid extra complexity or cost, which can support a </w:t>
      </w:r>
      <w:r>
        <w:rPr>
          <w:sz w:val="22"/>
          <w:szCs w:val="22"/>
        </w:rPr>
        <w:t>c</w:t>
      </w:r>
      <w:r>
        <w:rPr>
          <w:rFonts w:hint="default" w:ascii="Times New Roman Bold Italic" w:hAnsi="Times New Roman Bold Italic" w:eastAsia="宋体" w:cs="Times New Roman Bold Italic"/>
          <w:b/>
          <w:bCs/>
          <w:i/>
          <w:iCs/>
          <w:sz w:val="22"/>
          <w:szCs w:val="22"/>
          <w:lang w:val="en-US" w:eastAsia="zh-CN"/>
        </w:rPr>
        <w:t>ertain minimal bandwidth and waveform for all device types.</w:t>
      </w:r>
    </w:p>
    <w:p w14:paraId="0246F475">
      <w:pPr>
        <w:rPr>
          <w:rFonts w:hint="default" w:ascii="Times New Roman Bold Italic" w:hAnsi="Times New Roman Bold Italic" w:cs="Times New Roman Bold Italic"/>
          <w:b/>
          <w:bCs/>
          <w:i/>
          <w:iCs/>
          <w:lang w:val="en-US" w:eastAsia="zh-CN"/>
        </w:rPr>
      </w:pPr>
      <w:r>
        <w:rPr>
          <w:rFonts w:ascii="Times New Roman Bold Italic" w:hAnsi="Times New Roman Bold Italic" w:cs="Times New Roman Bold Italic"/>
          <w:b/>
          <w:bCs/>
          <w:i/>
          <w:iCs/>
          <w:lang w:eastAsia="zh-CN"/>
        </w:rPr>
        <w:t xml:space="preserve">Proposal </w:t>
      </w:r>
      <w:r>
        <w:rPr>
          <w:rFonts w:hint="eastAsia" w:ascii="Times New Roman Bold Italic" w:hAnsi="Times New Roman Bold Italic" w:cs="Times New Roman Bold Italic"/>
          <w:b/>
          <w:bCs/>
          <w:i/>
          <w:iCs/>
          <w:lang w:val="en-US" w:eastAsia="zh-CN"/>
        </w:rPr>
        <w:t>33</w:t>
      </w:r>
      <w:r>
        <w:rPr>
          <w:rFonts w:ascii="Times New Roman Bold Italic" w:hAnsi="Times New Roman Bold Italic" w:cs="Times New Roman Bold Italic"/>
          <w:b/>
          <w:bCs/>
          <w:i/>
          <w:iCs/>
          <w:lang w:eastAsia="zh-CN"/>
        </w:rPr>
        <w:t xml:space="preserve">: </w:t>
      </w:r>
      <w:r>
        <w:rPr>
          <w:rFonts w:ascii="Times New Roman Bold Italic" w:hAnsi="Times New Roman Bold Italic" w:eastAsia="等线" w:cs="Times New Roman Bold Italic"/>
          <w:b/>
          <w:bCs/>
          <w:i/>
          <w:iCs/>
          <w:szCs w:val="20"/>
          <w:lang w:eastAsia="zh-CN"/>
        </w:rPr>
        <w:t>DRX and PEI/LP-WUS mechanisms should be supported in a simplified manner to achieve both power saving and simplified protocol implementation</w:t>
      </w:r>
      <w:r>
        <w:rPr>
          <w:rFonts w:hint="default" w:ascii="Times New Roman Bold Italic" w:hAnsi="Times New Roman Bold Italic" w:eastAsia="等线" w:cs="Times New Roman Bold Italic"/>
          <w:b/>
          <w:bCs/>
          <w:i/>
          <w:iCs/>
          <w:szCs w:val="20"/>
          <w:lang w:val="en-US" w:eastAsia="zh-CN"/>
        </w:rPr>
        <w:t>.</w:t>
      </w:r>
    </w:p>
    <w:p w14:paraId="4D691494">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Proposal </w:t>
      </w:r>
      <w:r>
        <w:rPr>
          <w:rFonts w:hint="eastAsia" w:ascii="Times New Roman Bold Italic" w:hAnsi="Times New Roman Bold Italic" w:cs="Times New Roman Bold Italic"/>
          <w:b/>
          <w:bCs/>
          <w:i/>
          <w:iCs/>
          <w:lang w:val="en-US" w:eastAsia="zh-CN"/>
        </w:rPr>
        <w:t>34</w:t>
      </w:r>
      <w:r>
        <w:rPr>
          <w:rFonts w:ascii="Times New Roman Bold Italic" w:hAnsi="Times New Roman Bold Italic" w:cs="Times New Roman Bold Italic"/>
          <w:b/>
          <w:bCs/>
          <w:i/>
          <w:iCs/>
          <w:lang w:eastAsia="zh-CN"/>
        </w:rPr>
        <w:t>: Consider scalable frequency-domain techniques to improve energy efficiency for both device and network, including efficient multi-carrier management, BWP adaptation, flexible scheduling.</w:t>
      </w:r>
    </w:p>
    <w:p w14:paraId="7D412841">
      <w:pPr>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 xml:space="preserve">Proposal </w:t>
      </w:r>
      <w:r>
        <w:rPr>
          <w:rFonts w:hint="eastAsia" w:ascii="Times New Roman Bold Italic" w:hAnsi="Times New Roman Bold Italic" w:cs="Times New Roman Bold Italic"/>
          <w:b/>
          <w:bCs/>
          <w:i/>
          <w:iCs/>
          <w:lang w:val="en-US" w:eastAsia="zh-CN"/>
        </w:rPr>
        <w:t>35</w:t>
      </w:r>
      <w:r>
        <w:rPr>
          <w:rFonts w:hint="default" w:ascii="Times New Roman Bold Italic" w:hAnsi="Times New Roman Bold Italic" w:eastAsia="宋体" w:cs="Times New Roman Bold Italic"/>
          <w:b/>
          <w:bCs/>
          <w:i/>
          <w:iCs/>
          <w:lang w:val="en-US" w:eastAsia="zh-CN"/>
        </w:rPr>
        <w:t>: Study potential UAI enhancement schemes including but not restricted to</w:t>
      </w:r>
    </w:p>
    <w:p w14:paraId="615788BE">
      <w:pPr>
        <w:numPr>
          <w:ilvl w:val="0"/>
          <w:numId w:val="33"/>
        </w:numPr>
        <w:ind w:left="420" w:leftChars="0" w:hanging="420" w:firstLineChars="0"/>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a refined UAI</w:t>
      </w:r>
      <w:r>
        <w:rPr>
          <w:rFonts w:hint="default" w:ascii="Times New Roman Bold Italic" w:hAnsi="Times New Roman Bold Italic" w:eastAsia="宋体" w:cs="Times New Roman Bold Italic"/>
          <w:b/>
          <w:bCs/>
          <w:i/>
          <w:iCs/>
          <w:lang w:val="en-US" w:eastAsia="zh-CN"/>
        </w:rPr>
        <w:noBreakHyphen/>
      </w:r>
      <w:r>
        <w:rPr>
          <w:rFonts w:hint="default" w:ascii="Times New Roman Bold Italic" w:hAnsi="Times New Roman Bold Italic" w:eastAsia="宋体" w:cs="Times New Roman Bold Italic"/>
          <w:b/>
          <w:bCs/>
          <w:i/>
          <w:iCs/>
          <w:lang w:val="en-US" w:eastAsia="zh-CN"/>
        </w:rPr>
        <w:t>based framework for 6GR covering content, timing, and triggers of UE feedback and NW indications</w:t>
      </w:r>
    </w:p>
    <w:p w14:paraId="7FC9A795">
      <w:pPr>
        <w:numPr>
          <w:ilvl w:val="0"/>
          <w:numId w:val="33"/>
        </w:numPr>
        <w:ind w:left="420" w:leftChars="0" w:hanging="420" w:firstLineChars="0"/>
        <w:rPr>
          <w:rFonts w:hint="default" w:ascii="Times New Roman Bold Italic" w:hAnsi="Times New Roman Bold Italic" w:eastAsia="宋体" w:cs="Times New Roman Bold Italic"/>
          <w:b/>
          <w:bCs/>
          <w:i/>
          <w:iCs/>
          <w:lang w:eastAsia="zh-CN"/>
        </w:rPr>
      </w:pPr>
      <w:r>
        <w:rPr>
          <w:rFonts w:hint="default" w:ascii="Times New Roman Bold Italic" w:hAnsi="Times New Roman Bold Italic" w:eastAsia="宋体" w:cs="Times New Roman Bold Italic"/>
          <w:b/>
          <w:bCs/>
          <w:i/>
          <w:iCs/>
          <w:lang w:val="en-US" w:eastAsia="zh-CN"/>
        </w:rPr>
        <w:t xml:space="preserve"> baseline BS response mechanisms enabling coordinated configuration updates</w:t>
      </w:r>
    </w:p>
    <w:p w14:paraId="1EDF56DA">
      <w:pPr>
        <w:numPr>
          <w:ilvl w:val="0"/>
          <w:numId w:val="33"/>
        </w:numPr>
        <w:ind w:left="420" w:leftChars="0" w:hanging="420" w:firstLineChars="0"/>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 xml:space="preserve"> criteria to determine when UAI</w:t>
      </w:r>
      <w:r>
        <w:rPr>
          <w:rFonts w:hint="default" w:ascii="Times New Roman Bold Italic" w:hAnsi="Times New Roman Bold Italic" w:eastAsia="宋体" w:cs="Times New Roman Bold Italic"/>
          <w:b/>
          <w:bCs/>
          <w:i/>
          <w:iCs/>
          <w:lang w:val="en-US" w:eastAsia="zh-CN"/>
        </w:rPr>
        <w:noBreakHyphen/>
      </w:r>
      <w:r>
        <w:rPr>
          <w:rFonts w:hint="default" w:ascii="Times New Roman Bold Italic" w:hAnsi="Times New Roman Bold Italic" w:eastAsia="宋体" w:cs="Times New Roman Bold Italic"/>
          <w:b/>
          <w:bCs/>
          <w:i/>
          <w:iCs/>
          <w:lang w:val="en-US" w:eastAsia="zh-CN"/>
        </w:rPr>
        <w:t>driven adaptations yield tangible joint BS-UE energy savings</w:t>
      </w:r>
    </w:p>
    <w:p w14:paraId="72187B6C">
      <w:pPr>
        <w:rPr>
          <w:lang w:eastAsia="zh-CN"/>
        </w:rPr>
      </w:pPr>
      <w:r>
        <w:rPr>
          <w:b/>
          <w:bCs/>
          <w:i/>
          <w:iCs/>
          <w:lang w:eastAsia="zh-CN"/>
        </w:rPr>
        <w:t xml:space="preserve">Proposal </w:t>
      </w:r>
      <w:r>
        <w:rPr>
          <w:rFonts w:hint="eastAsia"/>
          <w:b/>
          <w:bCs/>
          <w:i/>
          <w:iCs/>
          <w:lang w:val="en-US" w:eastAsia="zh-CN"/>
        </w:rPr>
        <w:t>36</w:t>
      </w:r>
      <w:r>
        <w:rPr>
          <w:b/>
          <w:bCs/>
          <w:i/>
          <w:iCs/>
          <w:lang w:eastAsia="zh-CN"/>
        </w:rPr>
        <w:t>: Discuss potential power domain transmission technologies to improve sustainability in 6G day 1, at least including lower PAPR considerations, power control considerations, and expanded deep sleep for both BS and UE PAs, a</w:t>
      </w:r>
      <w:r>
        <w:rPr>
          <w:rFonts w:hint="eastAsia"/>
          <w:b/>
          <w:bCs/>
          <w:i/>
          <w:iCs/>
          <w:lang w:eastAsia="zh-CN"/>
        </w:rPr>
        <w:t>daptive emi</w:t>
      </w:r>
      <w:r>
        <w:rPr>
          <w:b/>
          <w:bCs/>
          <w:i/>
          <w:iCs/>
          <w:lang w:eastAsia="zh-CN"/>
        </w:rPr>
        <w:t>ssion masks and context-based EVM in RAN 1.</w:t>
      </w:r>
    </w:p>
    <w:p w14:paraId="63553B2F">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Proposal </w:t>
      </w:r>
      <w:r>
        <w:rPr>
          <w:rFonts w:hint="eastAsia" w:ascii="Times New Roman Bold Italic" w:hAnsi="Times New Roman Bold Italic" w:cs="Times New Roman Bold Italic"/>
          <w:b/>
          <w:bCs/>
          <w:i/>
          <w:iCs/>
          <w:lang w:val="en-US" w:eastAsia="zh-CN"/>
        </w:rPr>
        <w:t>37</w:t>
      </w:r>
      <w:r>
        <w:rPr>
          <w:rFonts w:ascii="Times New Roman Bold Italic" w:hAnsi="Times New Roman Bold Italic" w:cs="Times New Roman Bold Italic"/>
          <w:b/>
          <w:bCs/>
          <w:i/>
          <w:iCs/>
          <w:lang w:eastAsia="zh-CN"/>
        </w:rPr>
        <w:t xml:space="preserve">: Discussion on </w:t>
      </w:r>
      <w:r>
        <w:rPr>
          <w:rFonts w:hint="eastAsia" w:ascii="Times New Roman Bold Italic" w:hAnsi="Times New Roman Bold Italic" w:cs="Times New Roman Bold Italic"/>
          <w:b/>
          <w:bCs/>
          <w:i/>
          <w:iCs/>
          <w:lang w:eastAsia="zh-CN"/>
        </w:rPr>
        <w:t>how</w:t>
      </w:r>
      <w:r>
        <w:rPr>
          <w:rFonts w:ascii="Times New Roman Bold Italic" w:hAnsi="Times New Roman Bold Italic" w:cs="Times New Roman Bold Italic"/>
          <w:b/>
          <w:bCs/>
          <w:i/>
          <w:iCs/>
          <w:lang w:eastAsia="zh-CN"/>
        </w:rPr>
        <w:t xml:space="preserve"> </w:t>
      </w:r>
      <w:r>
        <w:rPr>
          <w:rFonts w:hint="eastAsia" w:ascii="Times New Roman Bold Italic" w:hAnsi="Times New Roman Bold Italic" w:cs="Times New Roman Bold Italic"/>
          <w:b/>
          <w:bCs/>
          <w:i/>
          <w:iCs/>
          <w:lang w:eastAsia="zh-CN"/>
        </w:rPr>
        <w:t>to</w:t>
      </w:r>
      <w:r>
        <w:rPr>
          <w:rFonts w:ascii="Times New Roman Bold Italic" w:hAnsi="Times New Roman Bold Italic" w:cs="Times New Roman Bold Italic"/>
          <w:b/>
          <w:bCs/>
          <w:i/>
          <w:iCs/>
          <w:lang w:eastAsia="zh-CN"/>
        </w:rPr>
        <w:t xml:space="preserve"> include</w:t>
      </w:r>
      <w:r>
        <w:rPr>
          <w:rFonts w:hint="eastAsia" w:ascii="Times New Roman Bold Italic" w:hAnsi="Times New Roman Bold Italic" w:cs="Times New Roman Bold Italic"/>
          <w:b/>
          <w:bCs/>
          <w:i/>
          <w:iCs/>
          <w:lang w:eastAsia="zh-CN"/>
        </w:rPr>
        <w:t xml:space="preserve"> the</w:t>
      </w:r>
      <w:r>
        <w:rPr>
          <w:rFonts w:ascii="Times New Roman Bold Italic" w:hAnsi="Times New Roman Bold Italic" w:cs="Times New Roman Bold Italic"/>
          <w:b/>
          <w:bCs/>
          <w:i/>
          <w:iCs/>
          <w:lang w:eastAsia="zh-CN"/>
        </w:rPr>
        <w:t xml:space="preserve"> impact of physical air interface design (e.g., waveform, coding, frame structure, sequence design, etc.) in 6G energy efficiency from day 1. </w:t>
      </w:r>
    </w:p>
    <w:p w14:paraId="27BFE702">
      <w:pPr>
        <w:rPr>
          <w:iCs/>
          <w:lang w:eastAsia="zh-CN"/>
        </w:rPr>
      </w:pPr>
    </w:p>
    <w:p w14:paraId="4C6C2019">
      <w:pPr>
        <w:pStyle w:val="2"/>
        <w:numPr>
          <w:ilvl w:val="0"/>
          <w:numId w:val="0"/>
        </w:numPr>
        <w:ind w:left="432" w:hanging="432"/>
      </w:pPr>
      <w:bookmarkStart w:id="21" w:name="_Ref124589665"/>
      <w:bookmarkStart w:id="22" w:name="_Ref71620620"/>
      <w:bookmarkStart w:id="23" w:name="_Ref124671424"/>
      <w:r>
        <w:t>References</w:t>
      </w:r>
    </w:p>
    <w:bookmarkEnd w:id="21"/>
    <w:bookmarkEnd w:id="22"/>
    <w:bookmarkEnd w:id="23"/>
    <w:p w14:paraId="519D4CB9">
      <w:pPr>
        <w:pStyle w:val="40"/>
        <w:tabs>
          <w:tab w:val="left" w:pos="1778"/>
        </w:tabs>
      </w:pPr>
      <w:bookmarkStart w:id="24" w:name="_Ref162960118"/>
      <w:r>
        <w:rPr>
          <w:rFonts w:hint="eastAsia"/>
        </w:rPr>
        <w:t>3GPP TR 38.864, “Study on Network Energy Savings for NR,” Release 18</w:t>
      </w:r>
    </w:p>
    <w:p w14:paraId="40223B0D">
      <w:pPr>
        <w:pStyle w:val="40"/>
        <w:tabs>
          <w:tab w:val="left" w:pos="1778"/>
        </w:tabs>
      </w:pPr>
      <w:r>
        <w:rPr>
          <w:rFonts w:hint="eastAsia"/>
        </w:rPr>
        <w:t>Reducing energy use with 5G-Advanced</w:t>
      </w:r>
      <w:r>
        <w:t xml:space="preserve">, </w:t>
      </w:r>
      <w:r>
        <w:fldChar w:fldCharType="begin"/>
      </w:r>
      <w:r>
        <w:instrText xml:space="preserve"> HYPERLINK "https://www.nokia.com/asset/f/213599/" \h </w:instrText>
      </w:r>
      <w:r>
        <w:fldChar w:fldCharType="separate"/>
      </w:r>
      <w:r>
        <w:rPr>
          <w:rFonts w:hint="eastAsia"/>
        </w:rPr>
        <w:t>https://www.nokia.com/asset/f/213599/</w:t>
      </w:r>
      <w:r>
        <w:rPr>
          <w:rFonts w:hint="eastAsia"/>
        </w:rPr>
        <w:fldChar w:fldCharType="end"/>
      </w:r>
    </w:p>
    <w:p w14:paraId="22E25D42">
      <w:pPr>
        <w:pStyle w:val="40"/>
        <w:tabs>
          <w:tab w:val="left" w:pos="1778"/>
        </w:tabs>
      </w:pPr>
      <w:r>
        <w:t>Chair notes RAN 1 #122</w:t>
      </w:r>
      <w:r>
        <w:rPr>
          <w:rFonts w:hint="default"/>
          <w:lang w:val="en-US"/>
        </w:rPr>
        <w:t>b</w:t>
      </w:r>
      <w:r>
        <w:t>.</w:t>
      </w:r>
    </w:p>
    <w:p w14:paraId="26327DC7">
      <w:pPr>
        <w:pStyle w:val="40"/>
        <w:tabs>
          <w:tab w:val="left" w:pos="1778"/>
        </w:tabs>
        <w:rPr>
          <w:rFonts w:eastAsia="宋体"/>
        </w:rPr>
      </w:pPr>
      <w:r>
        <w:rPr>
          <w:rFonts w:eastAsia="宋体"/>
        </w:rPr>
        <w:t>Ericsson's 6G RAN vision: Boosting energy efficiency</w:t>
      </w:r>
    </w:p>
    <w:p w14:paraId="4C7FE283">
      <w:pPr>
        <w:pStyle w:val="5"/>
      </w:pPr>
      <w:r>
        <w:fldChar w:fldCharType="begin"/>
      </w:r>
      <w:r>
        <w:instrText xml:space="preserve"> HYPERLINK "https://www.ericsson.com/en/reports-and-papers/white-papers/energy-performance-of-6g-ran" \h </w:instrText>
      </w:r>
      <w:r>
        <w:fldChar w:fldCharType="separate"/>
      </w:r>
      <w:r>
        <w:rPr>
          <w:rStyle w:val="33"/>
        </w:rPr>
        <w:t>https://www.ericsson.com/en/reports-and-papers/white-papers/energy-performance-of-6g-ran</w:t>
      </w:r>
      <w:r>
        <w:rPr>
          <w:rStyle w:val="33"/>
        </w:rPr>
        <w:fldChar w:fldCharType="end"/>
      </w:r>
    </w:p>
    <w:p w14:paraId="507F1DFB">
      <w:pPr>
        <w:pStyle w:val="40"/>
        <w:tabs>
          <w:tab w:val="left" w:pos="1778"/>
        </w:tabs>
      </w:pPr>
      <w:r>
        <w:rPr>
          <w:rFonts w:eastAsia="宋体"/>
        </w:rPr>
        <w:t xml:space="preserve">The path to 6G with unparalleled energy savings </w:t>
      </w:r>
    </w:p>
    <w:p w14:paraId="1B7625E6">
      <w:pPr>
        <w:pStyle w:val="5"/>
      </w:pPr>
      <w:r>
        <w:fldChar w:fldCharType="begin"/>
      </w:r>
      <w:r>
        <w:instrText xml:space="preserve"> HYPERLINK "https://www.nokia.com/asset/i/214113/" \h </w:instrText>
      </w:r>
      <w:r>
        <w:fldChar w:fldCharType="separate"/>
      </w:r>
      <w:r>
        <w:rPr>
          <w:rStyle w:val="33"/>
        </w:rPr>
        <w:t>https://www.nokia.com/asset/i/214113/</w:t>
      </w:r>
      <w:r>
        <w:rPr>
          <w:rStyle w:val="33"/>
        </w:rPr>
        <w:fldChar w:fldCharType="end"/>
      </w:r>
      <w:bookmarkEnd w:id="24"/>
    </w:p>
    <w:sectPr>
      <w:footerReference r:id="rId6" w:type="default"/>
      <w:type w:val="continuous"/>
      <w:pgSz w:w="11909" w:h="16834"/>
      <w:pgMar w:top="1440" w:right="1152" w:bottom="1440" w:left="1440" w:header="720" w:footer="720"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简荣灵" w:date="2025-11-07T10:06:42Z" w:initials="">
    <w:p w14:paraId="3FF61A87">
      <w:pPr>
        <w:pStyle w:val="16"/>
        <w:rPr>
          <w:rFonts w:hint="eastAsia" w:eastAsia="宋体"/>
          <w:lang w:val="en-US" w:eastAsia="zh-CN"/>
        </w:rPr>
      </w:pPr>
      <w:r>
        <w:rPr>
          <w:rFonts w:hint="eastAsia"/>
          <w:lang w:val="en-US" w:eastAsia="zh-CN"/>
        </w:rPr>
        <w:t>修改</w:t>
      </w:r>
    </w:p>
  </w:comment>
  <w:comment w:id="1" w:author="简荣灵" w:date="2025-11-07T10:14:45Z" w:initials="">
    <w:p w14:paraId="56E8B36B">
      <w:pPr>
        <w:pStyle w:val="16"/>
        <w:rPr>
          <w:rFonts w:hint="default" w:eastAsia="宋体"/>
          <w:lang w:val="en-US" w:eastAsia="zh-CN"/>
        </w:rPr>
      </w:pPr>
      <w:r>
        <w:rPr>
          <w:rFonts w:hint="eastAsia"/>
          <w:lang w:val="en-US" w:eastAsia="zh-CN"/>
        </w:rPr>
        <w:t>不需要公式</w:t>
      </w:r>
    </w:p>
  </w:comment>
  <w:comment w:id="2" w:author="简荣灵" w:date="2025-11-07T10:23:55Z" w:initials="">
    <w:p w14:paraId="3CA01F55">
      <w:pPr>
        <w:pStyle w:val="16"/>
        <w:rPr>
          <w:rFonts w:hint="default" w:eastAsia="宋体"/>
          <w:lang w:val="en-US" w:eastAsia="zh-CN"/>
        </w:rPr>
      </w:pPr>
      <w:r>
        <w:rPr>
          <w:rFonts w:hint="eastAsia"/>
          <w:lang w:val="en-US" w:eastAsia="zh-CN"/>
        </w:rPr>
        <w:t>与帧结构的agreement保持对齐</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FF61A87" w15:done="0"/>
  <w15:commentEx w15:paraId="56E8B36B" w15:done="0"/>
  <w15:commentEx w15:paraId="3CA01F55"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0"/>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Tahoma">
    <w:panose1 w:val="020B0604030504040204"/>
    <w:charset w:val="00"/>
    <w:family w:val="swiss"/>
    <w:pitch w:val="default"/>
    <w:sig w:usb0="E1002AFF" w:usb1="C000605B" w:usb2="00000029" w:usb3="00000000" w:csb0="200101FF" w:csb1="20280000"/>
  </w:font>
  <w:font w:name="MS Mincho">
    <w:altName w:val="Hiragino Sans"/>
    <w:panose1 w:val="02020609040205080304"/>
    <w:charset w:val="80"/>
    <w:family w:val="modern"/>
    <w:pitch w:val="default"/>
    <w:sig w:usb0="00000000" w:usb1="00000000" w:usb2="08000012" w:usb3="00000000" w:csb0="0002009F" w:csb1="00000000"/>
  </w:font>
  <w:font w:name="MS Gothic">
    <w:altName w:val="Hiragino Sans"/>
    <w:panose1 w:val="020B0609070205080204"/>
    <w:charset w:val="80"/>
    <w:family w:val="modern"/>
    <w:pitch w:val="default"/>
    <w:sig w:usb0="00000000" w:usb1="00000000" w:usb2="08000012" w:usb3="00000000" w:csb0="0002009F" w:csb1="00000000"/>
  </w:font>
  <w:font w:name="Batang">
    <w:altName w:val="Apple SD Gothic Neo"/>
    <w:panose1 w:val="02030600000101010101"/>
    <w:charset w:val="81"/>
    <w:family w:val="roman"/>
    <w:pitch w:val="default"/>
    <w:sig w:usb0="00000000" w:usb1="00000000" w:usb2="00000030" w:usb3="00000000" w:csb0="0008009F" w:csb1="00000000"/>
  </w:font>
  <w:font w:name="等线">
    <w:altName w:val="汉仪中等线KW"/>
    <w:panose1 w:val="02010600030101010101"/>
    <w:charset w:val="86"/>
    <w:family w:val="auto"/>
    <w:pitch w:val="default"/>
    <w:sig w:usb0="00000000" w:usb1="00000000" w:usb2="00000016" w:usb3="00000000" w:csb0="0004000F" w:csb1="00000000"/>
  </w:font>
  <w:font w:name="Times New Roman Italic">
    <w:panose1 w:val="02020503050405090304"/>
    <w:charset w:val="00"/>
    <w:family w:val="auto"/>
    <w:pitch w:val="default"/>
    <w:sig w:usb0="E0000AFF" w:usb1="00007843" w:usb2="00000001" w:usb3="00000000" w:csb0="400001BF" w:csb1="DFF70000"/>
  </w:font>
  <w:font w:name="Times New Roman Bold Italic">
    <w:panose1 w:val="02020503050405090304"/>
    <w:charset w:val="00"/>
    <w:family w:val="auto"/>
    <w:pitch w:val="default"/>
    <w:sig w:usb0="E0000AFF" w:usb1="00007843" w:usb2="00000001" w:usb3="00000000" w:csb0="400001BF" w:csb1="DFF70000"/>
  </w:font>
  <w:font w:name="PMingLiU">
    <w:altName w:val="宋体-繁"/>
    <w:panose1 w:val="02020500000000000000"/>
    <w:charset w:val="88"/>
    <w:family w:val="roman"/>
    <w:pitch w:val="default"/>
    <w:sig w:usb0="00000000" w:usb1="00000000" w:usb2="00000016" w:usb3="00000000" w:csb0="00100001" w:csb1="00000000"/>
  </w:font>
  <w:font w:name="Times New Roman Bold">
    <w:panose1 w:val="02020503050405090304"/>
    <w:charset w:val="00"/>
    <w:family w:val="roman"/>
    <w:pitch w:val="default"/>
    <w:sig w:usb0="E0000AFF" w:usb1="00007843" w:usb2="00000001" w:usb3="00000000" w:csb0="400001BF" w:csb1="DFF70000"/>
  </w:font>
  <w:font w:name="Times">
    <w:altName w:val="Times New Roman"/>
    <w:panose1 w:val="02020603050405020304"/>
    <w:charset w:val="00"/>
    <w:family w:val="roman"/>
    <w:pitch w:val="default"/>
    <w:sig w:usb0="00000000" w:usb1="00000000" w:usb2="00000009" w:usb3="00000000" w:csb0="000001FF" w:csb1="00000000"/>
  </w:font>
  <w:font w:name="Cambria Math">
    <w:altName w:val="Kingsoft Math"/>
    <w:panose1 w:val="02040503050406030204"/>
    <w:charset w:val="00"/>
    <w:family w:val="roman"/>
    <w:pitch w:val="default"/>
    <w:sig w:usb0="00000000" w:usb1="00000000" w:usb2="02000000" w:usb3="00000000" w:csb0="0000019F" w:csb1="00000000"/>
  </w:font>
  <w:font w:name="Times New Roman Regular">
    <w:panose1 w:val="02020503050405090304"/>
    <w:charset w:val="00"/>
    <w:family w:val="auto"/>
    <w:pitch w:val="default"/>
    <w:sig w:usb0="E0000AFF" w:usb1="00007843" w:usb2="00000001" w:usb3="00000000" w:csb0="400001BF" w:csb1="DFF70000"/>
  </w:font>
  <w:font w:name="宋体-繁">
    <w:panose1 w:val="02010600040101010101"/>
    <w:charset w:val="86"/>
    <w:family w:val="auto"/>
    <w:pitch w:val="default"/>
    <w:sig w:usb0="00000287" w:usb1="080F0000" w:usb2="00000000" w:usb3="00000000" w:csb0="0004009F" w:csb1="DFD70000"/>
  </w:font>
  <w:font w:name="DejaVu Math TeX Gyre">
    <w:panose1 w:val="02000503000000000000"/>
    <w:charset w:val="00"/>
    <w:family w:val="auto"/>
    <w:pitch w:val="default"/>
    <w:sig w:usb0="A10000EF" w:usb1="4201F9EE" w:usb2="02000000" w:usb3="00000000" w:csb0="60000193" w:csb1="0DD40000"/>
  </w:font>
  <w:font w:name="汉仪书宋二KW">
    <w:panose1 w:val="00020600040101010101"/>
    <w:charset w:val="86"/>
    <w:family w:val="auto"/>
    <w:pitch w:val="default"/>
    <w:sig w:usb0="A00002BF" w:usb1="18EF7CFA" w:usb2="00000016" w:usb3="00000000" w:csb0="00040000" w:csb1="00000000"/>
  </w:font>
  <w:font w:name="冬青黑体简体中文">
    <w:panose1 w:val="020B0300000000000000"/>
    <w:charset w:val="86"/>
    <w:family w:val="auto"/>
    <w:pitch w:val="default"/>
    <w:sig w:usb0="A00002BF" w:usb1="1ACF7CFA" w:usb2="00000016" w:usb3="00000000" w:csb0="00060007" w:csb1="00000000"/>
  </w:font>
  <w:font w:name="Kingsoft Sign">
    <w:panose1 w:val="05050102010706020507"/>
    <w:charset w:val="00"/>
    <w:family w:val="auto"/>
    <w:pitch w:val="default"/>
    <w:sig w:usb0="00000000" w:usb1="10000000" w:usb2="00000000" w:usb3="00000000" w:csb0="00000001" w:csb1="00000000"/>
  </w:font>
  <w:font w:name="Kingsoft Math">
    <w:panose1 w:val="02040503050406030204"/>
    <w:charset w:val="00"/>
    <w:family w:val="auto"/>
    <w:pitch w:val="default"/>
    <w:sig w:usb0="80000087" w:usb1="00002068" w:usb2="00000000" w:usb3="00000000" w:csb0="2000019F"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Hiragino Sans">
    <w:panose1 w:val="020B0300000000000000"/>
    <w:charset w:val="80"/>
    <w:family w:val="auto"/>
    <w:pitch w:val="default"/>
    <w:sig w:usb0="E00002FF" w:usb1="7AE7FFFF" w:usb2="00000012" w:usb3="00000000" w:csb0="0002000D" w:csb1="00000000"/>
  </w:font>
  <w:font w:name="Apple SD Gothic Neo">
    <w:panose1 w:val="02000300000000000000"/>
    <w:charset w:val="81"/>
    <w:family w:val="auto"/>
    <w:pitch w:val="default"/>
    <w:sig w:usb0="00000203" w:usb1="21D12C10" w:usb2="00000010" w:usb3="00000000" w:csb0="00280005" w:csb1="00000000"/>
  </w:font>
  <w:font w:name="汉仪中等线KW">
    <w:panose1 w:val="01010104010101010101"/>
    <w:charset w:val="86"/>
    <w:family w:val="auto"/>
    <w:pitch w:val="default"/>
    <w:sig w:usb0="800002BF" w:usb1="004F7CFA" w:usb2="00000000" w:usb3="00000000" w:csb0="00040001" w:csb1="00000000"/>
  </w:font>
  <w:font w:name="PingFang SC">
    <w:panose1 w:val="020B0400000000000000"/>
    <w:charset w:val="86"/>
    <w:family w:val="auto"/>
    <w:pitch w:val="default"/>
    <w:sig w:usb0="A00002FF" w:usb1="7ACFFDFB" w:usb2="00000017" w:usb3="00000000" w:csb0="00040001" w:csb1="00000000"/>
  </w:font>
  <w:font w:name="儷宋 Pro">
    <w:panose1 w:val="02020300000000000000"/>
    <w:charset w:val="88"/>
    <w:family w:val="auto"/>
    <w:pitch w:val="default"/>
    <w:sig w:usb0="80000001" w:usb1="28091800" w:usb2="00000016" w:usb3="00000000" w:csb0="00100000" w:csb1="00000000"/>
  </w:font>
  <w:font w:name="宋体-简">
    <w:panose1 w:val="02010800040101010101"/>
    <w:charset w:val="86"/>
    <w:family w:val="auto"/>
    <w:pitch w:val="default"/>
    <w:sig w:usb0="00000001" w:usb1="080F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CG Times (WN)">
    <w:altName w:val="Times New Roman"/>
    <w:panose1 w:val="00000000000000000000"/>
    <w:charset w:val="00"/>
    <w:family w:val="roman"/>
    <w:pitch w:val="default"/>
    <w:sig w:usb0="00000000" w:usb1="00000000" w:usb2="00000000" w:usb3="00000000" w:csb0="00000001" w:csb1="00000000"/>
  </w:font>
  <w:font w:name="MS Mincho">
    <w:altName w:val="Hiragino San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14:paraId="2654015B">
        <w:pPr>
          <w:pStyle w:val="21"/>
          <w:jc w:val="center"/>
        </w:pPr>
        <w:r>
          <w:fldChar w:fldCharType="begin"/>
        </w:r>
        <w:r>
          <w:instrText xml:space="preserve"> PAGE   \* MERGEFORMAT </w:instrText>
        </w:r>
        <w:r>
          <w:fldChar w:fldCharType="separate"/>
        </w:r>
        <w:r>
          <w:t>1</w:t>
        </w:r>
        <w:r>
          <w:fldChar w:fldCharType="end"/>
        </w:r>
      </w:p>
    </w:sdtContent>
  </w:sdt>
  <w:p w14:paraId="7FC4B9C0">
    <w:pPr>
      <w:pStyle w:val="2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FFADD7"/>
    <w:multiLevelType w:val="singleLevel"/>
    <w:tmpl w:val="D6FFADD7"/>
    <w:lvl w:ilvl="0" w:tentative="0">
      <w:start w:val="1"/>
      <w:numFmt w:val="bullet"/>
      <w:lvlText w:val=""/>
      <w:lvlJc w:val="left"/>
      <w:pPr>
        <w:ind w:left="420" w:hanging="420"/>
      </w:pPr>
      <w:rPr>
        <w:rFonts w:hint="default" w:ascii="Wingdings" w:hAnsi="Wingdings"/>
      </w:rPr>
    </w:lvl>
  </w:abstractNum>
  <w:abstractNum w:abstractNumId="1">
    <w:nsid w:val="D7B86641"/>
    <w:multiLevelType w:val="singleLevel"/>
    <w:tmpl w:val="D7B86641"/>
    <w:lvl w:ilvl="0" w:tentative="0">
      <w:start w:val="1"/>
      <w:numFmt w:val="lowerLetter"/>
      <w:suff w:val="space"/>
      <w:lvlText w:val="(%1)"/>
      <w:lvlJc w:val="left"/>
    </w:lvl>
  </w:abstractNum>
  <w:abstractNum w:abstractNumId="2">
    <w:nsid w:val="DB18ADD0"/>
    <w:multiLevelType w:val="singleLevel"/>
    <w:tmpl w:val="DB18ADD0"/>
    <w:lvl w:ilvl="0" w:tentative="0">
      <w:start w:val="1"/>
      <w:numFmt w:val="bullet"/>
      <w:lvlText w:val=""/>
      <w:lvlJc w:val="left"/>
      <w:pPr>
        <w:ind w:left="420" w:hanging="420"/>
      </w:pPr>
      <w:rPr>
        <w:rFonts w:hint="default" w:ascii="Wingdings" w:hAnsi="Wingdings"/>
      </w:rPr>
    </w:lvl>
  </w:abstractNum>
  <w:abstractNum w:abstractNumId="3">
    <w:nsid w:val="DFEAF459"/>
    <w:multiLevelType w:val="singleLevel"/>
    <w:tmpl w:val="DFEAF459"/>
    <w:lvl w:ilvl="0" w:tentative="0">
      <w:start w:val="1"/>
      <w:numFmt w:val="bullet"/>
      <w:lvlText w:val=""/>
      <w:lvlJc w:val="left"/>
      <w:pPr>
        <w:ind w:left="420" w:hanging="420"/>
      </w:pPr>
      <w:rPr>
        <w:rFonts w:hint="default" w:ascii="Wingdings" w:hAnsi="Wingdings"/>
      </w:rPr>
    </w:lvl>
  </w:abstractNum>
  <w:abstractNum w:abstractNumId="4">
    <w:nsid w:val="DFF2CAB2"/>
    <w:multiLevelType w:val="singleLevel"/>
    <w:tmpl w:val="DFF2CAB2"/>
    <w:lvl w:ilvl="0" w:tentative="0">
      <w:start w:val="1"/>
      <w:numFmt w:val="bullet"/>
      <w:lvlText w:val=""/>
      <w:lvlJc w:val="left"/>
      <w:pPr>
        <w:ind w:left="420" w:hanging="420"/>
      </w:pPr>
      <w:rPr>
        <w:rFonts w:hint="default" w:ascii="Wingdings" w:hAnsi="Wingdings"/>
      </w:rPr>
    </w:lvl>
  </w:abstractNum>
  <w:abstractNum w:abstractNumId="5">
    <w:nsid w:val="E8C1B9DD"/>
    <w:multiLevelType w:val="singleLevel"/>
    <w:tmpl w:val="E8C1B9DD"/>
    <w:lvl w:ilvl="0" w:tentative="0">
      <w:start w:val="1"/>
      <w:numFmt w:val="bullet"/>
      <w:lvlText w:val=""/>
      <w:lvlJc w:val="left"/>
      <w:pPr>
        <w:ind w:left="420" w:hanging="420"/>
      </w:pPr>
      <w:rPr>
        <w:rFonts w:hint="default" w:ascii="Wingdings" w:hAnsi="Wingdings"/>
      </w:rPr>
    </w:lvl>
  </w:abstractNum>
  <w:abstractNum w:abstractNumId="6">
    <w:nsid w:val="EC769D3F"/>
    <w:multiLevelType w:val="singleLevel"/>
    <w:tmpl w:val="EC769D3F"/>
    <w:lvl w:ilvl="0" w:tentative="0">
      <w:start w:val="1"/>
      <w:numFmt w:val="bullet"/>
      <w:lvlText w:val=""/>
      <w:lvlJc w:val="left"/>
      <w:pPr>
        <w:ind w:left="420" w:hanging="420"/>
      </w:pPr>
      <w:rPr>
        <w:rFonts w:hint="default" w:ascii="Wingdings" w:hAnsi="Wingdings"/>
      </w:rPr>
    </w:lvl>
  </w:abstractNum>
  <w:abstractNum w:abstractNumId="7">
    <w:nsid w:val="ECBE1970"/>
    <w:multiLevelType w:val="singleLevel"/>
    <w:tmpl w:val="ECBE1970"/>
    <w:lvl w:ilvl="0" w:tentative="0">
      <w:start w:val="1"/>
      <w:numFmt w:val="lowerRoman"/>
      <w:suff w:val="space"/>
      <w:lvlText w:val="(%1)"/>
      <w:lvlJc w:val="left"/>
      <w:pPr>
        <w:ind w:left="55" w:leftChars="0" w:firstLine="0" w:firstLineChars="0"/>
      </w:pPr>
    </w:lvl>
  </w:abstractNum>
  <w:abstractNum w:abstractNumId="8">
    <w:nsid w:val="FBF69CEB"/>
    <w:multiLevelType w:val="singleLevel"/>
    <w:tmpl w:val="FBF69CEB"/>
    <w:lvl w:ilvl="0" w:tentative="0">
      <w:start w:val="1"/>
      <w:numFmt w:val="bullet"/>
      <w:lvlText w:val=""/>
      <w:lvlJc w:val="left"/>
      <w:pPr>
        <w:ind w:left="420" w:hanging="420"/>
      </w:pPr>
      <w:rPr>
        <w:rFonts w:hint="default" w:ascii="Wingdings" w:hAnsi="Wingdings"/>
      </w:rPr>
    </w:lvl>
  </w:abstractNum>
  <w:abstractNum w:abstractNumId="9">
    <w:nsid w:val="FBFEC7AC"/>
    <w:multiLevelType w:val="singleLevel"/>
    <w:tmpl w:val="FBFEC7AC"/>
    <w:lvl w:ilvl="0" w:tentative="0">
      <w:start w:val="1"/>
      <w:numFmt w:val="bullet"/>
      <w:lvlText w:val=""/>
      <w:lvlJc w:val="left"/>
      <w:pPr>
        <w:ind w:left="420" w:hanging="420"/>
      </w:pPr>
      <w:rPr>
        <w:rFonts w:hint="default" w:ascii="Wingdings" w:hAnsi="Wingdings"/>
      </w:rPr>
    </w:lvl>
  </w:abstractNum>
  <w:abstractNum w:abstractNumId="10">
    <w:nsid w:val="FE3EE7B1"/>
    <w:multiLevelType w:val="singleLevel"/>
    <w:tmpl w:val="FE3EE7B1"/>
    <w:lvl w:ilvl="0" w:tentative="0">
      <w:start w:val="1"/>
      <w:numFmt w:val="bullet"/>
      <w:lvlText w:val=""/>
      <w:lvlJc w:val="left"/>
      <w:pPr>
        <w:ind w:left="420" w:hanging="420"/>
      </w:pPr>
      <w:rPr>
        <w:rFonts w:hint="default" w:ascii="Wingdings" w:hAnsi="Wingdings"/>
      </w:rPr>
    </w:lvl>
  </w:abstractNum>
  <w:abstractNum w:abstractNumId="11">
    <w:nsid w:val="FEAABC69"/>
    <w:multiLevelType w:val="multilevel"/>
    <w:tmpl w:val="FEAABC69"/>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12">
    <w:nsid w:val="FFFFFF82"/>
    <w:multiLevelType w:val="singleLevel"/>
    <w:tmpl w:val="FFFFFF82"/>
    <w:lvl w:ilvl="0" w:tentative="0">
      <w:start w:val="1"/>
      <w:numFmt w:val="bullet"/>
      <w:pStyle w:val="17"/>
      <w:lvlText w:val=""/>
      <w:lvlJc w:val="left"/>
      <w:pPr>
        <w:tabs>
          <w:tab w:val="left" w:pos="1800"/>
        </w:tabs>
        <w:ind w:left="1800" w:hanging="720"/>
      </w:pPr>
      <w:rPr>
        <w:rFonts w:hint="default" w:ascii="Symbol" w:hAnsi="Symbol"/>
      </w:rPr>
    </w:lvl>
  </w:abstractNum>
  <w:abstractNum w:abstractNumId="13">
    <w:nsid w:val="FFFFFF83"/>
    <w:multiLevelType w:val="singleLevel"/>
    <w:tmpl w:val="FFFFFF83"/>
    <w:lvl w:ilvl="0" w:tentative="0">
      <w:start w:val="1"/>
      <w:numFmt w:val="bullet"/>
      <w:pStyle w:val="19"/>
      <w:lvlText w:val=""/>
      <w:lvlJc w:val="left"/>
      <w:pPr>
        <w:tabs>
          <w:tab w:val="left" w:pos="1440"/>
        </w:tabs>
        <w:ind w:left="1440" w:hanging="720"/>
      </w:pPr>
      <w:rPr>
        <w:rFonts w:hint="default" w:ascii="Symbol" w:hAnsi="Symbol"/>
      </w:rPr>
    </w:lvl>
  </w:abstractNum>
  <w:abstractNum w:abstractNumId="14">
    <w:nsid w:val="FFFFFFFE"/>
    <w:multiLevelType w:val="singleLevel"/>
    <w:tmpl w:val="FFFFFFFE"/>
    <w:lvl w:ilvl="0" w:tentative="0">
      <w:start w:val="0"/>
      <w:numFmt w:val="decimal"/>
      <w:lvlText w:val="*"/>
      <w:lvlJc w:val="left"/>
    </w:lvl>
  </w:abstractNum>
  <w:abstractNum w:abstractNumId="15">
    <w:nsid w:val="114F41B2"/>
    <w:multiLevelType w:val="multilevel"/>
    <w:tmpl w:val="114F41B2"/>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6">
    <w:nsid w:val="15133AE0"/>
    <w:multiLevelType w:val="multilevel"/>
    <w:tmpl w:val="15133AE0"/>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7">
    <w:nsid w:val="16CE1FBB"/>
    <w:multiLevelType w:val="multilevel"/>
    <w:tmpl w:val="16CE1FBB"/>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8">
    <w:nsid w:val="22E43D28"/>
    <w:multiLevelType w:val="multilevel"/>
    <w:tmpl w:val="22E43D28"/>
    <w:lvl w:ilvl="0" w:tentative="0">
      <w:start w:val="1"/>
      <w:numFmt w:val="bullet"/>
      <w:lvlText w:val=""/>
      <w:lvlJc w:val="left"/>
      <w:pPr>
        <w:ind w:left="528" w:hanging="420"/>
      </w:pPr>
      <w:rPr>
        <w:rFonts w:hint="default" w:ascii="Symbol" w:hAnsi="Symbol"/>
      </w:rPr>
    </w:lvl>
    <w:lvl w:ilvl="1" w:tentative="0">
      <w:start w:val="1"/>
      <w:numFmt w:val="bullet"/>
      <w:lvlText w:val=""/>
      <w:lvlJc w:val="left"/>
      <w:pPr>
        <w:ind w:left="948" w:hanging="420"/>
      </w:pPr>
      <w:rPr>
        <w:rFonts w:hint="default" w:ascii="Wingdings" w:hAnsi="Wingdings"/>
      </w:rPr>
    </w:lvl>
    <w:lvl w:ilvl="2" w:tentative="0">
      <w:start w:val="1"/>
      <w:numFmt w:val="bullet"/>
      <w:lvlText w:val=""/>
      <w:lvlJc w:val="left"/>
      <w:pPr>
        <w:ind w:left="1368" w:hanging="420"/>
      </w:pPr>
      <w:rPr>
        <w:rFonts w:hint="default" w:ascii="Wingdings" w:hAnsi="Wingdings"/>
      </w:rPr>
    </w:lvl>
    <w:lvl w:ilvl="3" w:tentative="0">
      <w:start w:val="1"/>
      <w:numFmt w:val="bullet"/>
      <w:lvlText w:val=""/>
      <w:lvlJc w:val="left"/>
      <w:pPr>
        <w:ind w:left="1788" w:hanging="420"/>
      </w:pPr>
      <w:rPr>
        <w:rFonts w:hint="default" w:ascii="Wingdings" w:hAnsi="Wingdings"/>
      </w:rPr>
    </w:lvl>
    <w:lvl w:ilvl="4" w:tentative="0">
      <w:start w:val="1"/>
      <w:numFmt w:val="bullet"/>
      <w:lvlText w:val=""/>
      <w:lvlJc w:val="left"/>
      <w:pPr>
        <w:ind w:left="2208" w:hanging="420"/>
      </w:pPr>
      <w:rPr>
        <w:rFonts w:hint="default" w:ascii="Wingdings" w:hAnsi="Wingdings"/>
      </w:rPr>
    </w:lvl>
    <w:lvl w:ilvl="5" w:tentative="0">
      <w:start w:val="1"/>
      <w:numFmt w:val="bullet"/>
      <w:lvlText w:val=""/>
      <w:lvlJc w:val="left"/>
      <w:pPr>
        <w:ind w:left="2628" w:hanging="420"/>
      </w:pPr>
      <w:rPr>
        <w:rFonts w:hint="default" w:ascii="Wingdings" w:hAnsi="Wingdings"/>
      </w:rPr>
    </w:lvl>
    <w:lvl w:ilvl="6" w:tentative="0">
      <w:start w:val="1"/>
      <w:numFmt w:val="bullet"/>
      <w:lvlText w:val=""/>
      <w:lvlJc w:val="left"/>
      <w:pPr>
        <w:ind w:left="3048" w:hanging="420"/>
      </w:pPr>
      <w:rPr>
        <w:rFonts w:hint="default" w:ascii="Wingdings" w:hAnsi="Wingdings"/>
      </w:rPr>
    </w:lvl>
    <w:lvl w:ilvl="7" w:tentative="0">
      <w:start w:val="1"/>
      <w:numFmt w:val="bullet"/>
      <w:lvlText w:val=""/>
      <w:lvlJc w:val="left"/>
      <w:pPr>
        <w:ind w:left="3468" w:hanging="420"/>
      </w:pPr>
      <w:rPr>
        <w:rFonts w:hint="default" w:ascii="Wingdings" w:hAnsi="Wingdings"/>
      </w:rPr>
    </w:lvl>
    <w:lvl w:ilvl="8" w:tentative="0">
      <w:start w:val="1"/>
      <w:numFmt w:val="bullet"/>
      <w:lvlText w:val=""/>
      <w:lvlJc w:val="left"/>
      <w:pPr>
        <w:ind w:left="3888" w:hanging="420"/>
      </w:pPr>
      <w:rPr>
        <w:rFonts w:hint="default" w:ascii="Wingdings" w:hAnsi="Wingdings"/>
      </w:rPr>
    </w:lvl>
  </w:abstractNum>
  <w:abstractNum w:abstractNumId="19">
    <w:nsid w:val="26B06215"/>
    <w:multiLevelType w:val="multilevel"/>
    <w:tmpl w:val="26B06215"/>
    <w:lvl w:ilvl="0" w:tentative="0">
      <w:start w:val="1"/>
      <w:numFmt w:val="bullet"/>
      <w:lvlText w:val=""/>
      <w:lvlJc w:val="left"/>
      <w:pPr>
        <w:tabs>
          <w:tab w:val="left" w:pos="0"/>
        </w:tabs>
        <w:ind w:left="360" w:hanging="360"/>
      </w:pPr>
      <w:rPr>
        <w:rFonts w:hint="default" w:ascii="Symbol" w:hAnsi="Symbol" w:cs="Symbol"/>
        <w:b w:val="0"/>
      </w:rPr>
    </w:lvl>
    <w:lvl w:ilvl="1" w:tentative="0">
      <w:start w:val="1"/>
      <w:numFmt w:val="bullet"/>
      <w:lvlText w:val="o"/>
      <w:lvlJc w:val="left"/>
      <w:pPr>
        <w:tabs>
          <w:tab w:val="left" w:pos="0"/>
        </w:tabs>
        <w:ind w:left="1080" w:hanging="360"/>
      </w:pPr>
      <w:rPr>
        <w:rFonts w:hint="default" w:ascii="Courier New" w:hAnsi="Courier New" w:cs="Courier New"/>
      </w:rPr>
    </w:lvl>
    <w:lvl w:ilvl="2" w:tentative="0">
      <w:start w:val="1"/>
      <w:numFmt w:val="bullet"/>
      <w:lvlText w:val=""/>
      <w:lvlJc w:val="left"/>
      <w:pPr>
        <w:tabs>
          <w:tab w:val="left" w:pos="0"/>
        </w:tabs>
        <w:ind w:left="1800" w:hanging="360"/>
      </w:pPr>
      <w:rPr>
        <w:rFonts w:hint="default" w:ascii="Wingdings" w:hAnsi="Wingdings" w:cs="Wingdings"/>
      </w:rPr>
    </w:lvl>
    <w:lvl w:ilvl="3" w:tentative="0">
      <w:start w:val="1"/>
      <w:numFmt w:val="bullet"/>
      <w:lvlText w:val=""/>
      <w:lvlJc w:val="left"/>
      <w:pPr>
        <w:tabs>
          <w:tab w:val="left" w:pos="0"/>
        </w:tabs>
        <w:ind w:left="2520" w:hanging="360"/>
      </w:pPr>
      <w:rPr>
        <w:rFonts w:hint="default" w:ascii="Symbol" w:hAnsi="Symbol" w:cs="Symbol"/>
      </w:rPr>
    </w:lvl>
    <w:lvl w:ilvl="4" w:tentative="0">
      <w:start w:val="1"/>
      <w:numFmt w:val="bullet"/>
      <w:lvlText w:val="o"/>
      <w:lvlJc w:val="left"/>
      <w:pPr>
        <w:tabs>
          <w:tab w:val="left" w:pos="0"/>
        </w:tabs>
        <w:ind w:left="3240" w:hanging="360"/>
      </w:pPr>
      <w:rPr>
        <w:rFonts w:hint="default" w:ascii="Courier New" w:hAnsi="Courier New" w:cs="Courier New"/>
      </w:rPr>
    </w:lvl>
    <w:lvl w:ilvl="5" w:tentative="0">
      <w:start w:val="1"/>
      <w:numFmt w:val="bullet"/>
      <w:lvlText w:val=""/>
      <w:lvlJc w:val="left"/>
      <w:pPr>
        <w:tabs>
          <w:tab w:val="left" w:pos="0"/>
        </w:tabs>
        <w:ind w:left="3960" w:hanging="360"/>
      </w:pPr>
      <w:rPr>
        <w:rFonts w:hint="default" w:ascii="Wingdings" w:hAnsi="Wingdings" w:cs="Wingdings"/>
      </w:rPr>
    </w:lvl>
    <w:lvl w:ilvl="6" w:tentative="0">
      <w:start w:val="1"/>
      <w:numFmt w:val="bullet"/>
      <w:lvlText w:val=""/>
      <w:lvlJc w:val="left"/>
      <w:pPr>
        <w:tabs>
          <w:tab w:val="left" w:pos="0"/>
        </w:tabs>
        <w:ind w:left="4680" w:hanging="360"/>
      </w:pPr>
      <w:rPr>
        <w:rFonts w:hint="default" w:ascii="Symbol" w:hAnsi="Symbol" w:cs="Symbol"/>
      </w:rPr>
    </w:lvl>
    <w:lvl w:ilvl="7" w:tentative="0">
      <w:start w:val="1"/>
      <w:numFmt w:val="bullet"/>
      <w:lvlText w:val="o"/>
      <w:lvlJc w:val="left"/>
      <w:pPr>
        <w:tabs>
          <w:tab w:val="left" w:pos="0"/>
        </w:tabs>
        <w:ind w:left="5400" w:hanging="360"/>
      </w:pPr>
      <w:rPr>
        <w:rFonts w:hint="default" w:ascii="Courier New" w:hAnsi="Courier New" w:cs="Courier New"/>
      </w:rPr>
    </w:lvl>
    <w:lvl w:ilvl="8" w:tentative="0">
      <w:start w:val="1"/>
      <w:numFmt w:val="bullet"/>
      <w:lvlText w:val=""/>
      <w:lvlJc w:val="left"/>
      <w:pPr>
        <w:tabs>
          <w:tab w:val="left" w:pos="0"/>
        </w:tabs>
        <w:ind w:left="6120" w:hanging="360"/>
      </w:pPr>
      <w:rPr>
        <w:rFonts w:hint="default" w:ascii="Wingdings" w:hAnsi="Wingdings" w:cs="Wingdings"/>
      </w:rPr>
    </w:lvl>
  </w:abstractNum>
  <w:abstractNum w:abstractNumId="20">
    <w:nsid w:val="299B545B"/>
    <w:multiLevelType w:val="multilevel"/>
    <w:tmpl w:val="299B545B"/>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1">
    <w:nsid w:val="2CA314F6"/>
    <w:multiLevelType w:val="multilevel"/>
    <w:tmpl w:val="2CA314F6"/>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2">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6"/>
      <w:lvlText w:val="%1.%2.%3.%4"/>
      <w:lvlJc w:val="left"/>
      <w:pPr>
        <w:tabs>
          <w:tab w:val="left" w:pos="864"/>
        </w:tabs>
        <w:ind w:left="864" w:hanging="864"/>
      </w:pPr>
      <w:rPr>
        <w:rFonts w:hint="default"/>
      </w:rPr>
    </w:lvl>
    <w:lvl w:ilvl="4" w:tentative="0">
      <w:start w:val="1"/>
      <w:numFmt w:val="decimal"/>
      <w:pStyle w:val="7"/>
      <w:lvlText w:val="%1.%2.%3.%4.%5"/>
      <w:lvlJc w:val="left"/>
      <w:pPr>
        <w:tabs>
          <w:tab w:val="left" w:pos="1008"/>
        </w:tabs>
        <w:ind w:left="1008" w:hanging="1008"/>
      </w:pPr>
      <w:rPr>
        <w:rFonts w:hint="default"/>
      </w:rPr>
    </w:lvl>
    <w:lvl w:ilvl="5" w:tentative="0">
      <w:start w:val="1"/>
      <w:numFmt w:val="decimal"/>
      <w:pStyle w:val="8"/>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23">
    <w:nsid w:val="341F3F59"/>
    <w:multiLevelType w:val="multilevel"/>
    <w:tmpl w:val="341F3F59"/>
    <w:lvl w:ilvl="0" w:tentative="0">
      <w:start w:val="1"/>
      <w:numFmt w:val="bullet"/>
      <w:lvlText w:val=""/>
      <w:lvlJc w:val="left"/>
      <w:pPr>
        <w:tabs>
          <w:tab w:val="left" w:pos="0"/>
        </w:tabs>
        <w:ind w:left="780" w:hanging="420"/>
      </w:pPr>
      <w:rPr>
        <w:rFonts w:hint="default" w:ascii="Wingdings" w:hAnsi="Wingdings" w:cs="Wingdings"/>
        <w:strike w:val="0"/>
      </w:rPr>
    </w:lvl>
    <w:lvl w:ilvl="1" w:tentative="0">
      <w:start w:val="1"/>
      <w:numFmt w:val="bullet"/>
      <w:lvlText w:val=""/>
      <w:lvlJc w:val="left"/>
      <w:pPr>
        <w:tabs>
          <w:tab w:val="left" w:pos="0"/>
        </w:tabs>
        <w:ind w:left="1200" w:hanging="420"/>
      </w:pPr>
      <w:rPr>
        <w:rFonts w:hint="default" w:ascii="Wingdings" w:hAnsi="Wingdings" w:cs="Wingdings"/>
      </w:rPr>
    </w:lvl>
    <w:lvl w:ilvl="2" w:tentative="0">
      <w:start w:val="1"/>
      <w:numFmt w:val="bullet"/>
      <w:lvlText w:val=""/>
      <w:lvlJc w:val="left"/>
      <w:pPr>
        <w:tabs>
          <w:tab w:val="left" w:pos="0"/>
        </w:tabs>
        <w:ind w:left="1620" w:hanging="420"/>
      </w:pPr>
      <w:rPr>
        <w:rFonts w:hint="default" w:ascii="Wingdings" w:hAnsi="Wingdings" w:cs="Wingdings"/>
      </w:rPr>
    </w:lvl>
    <w:lvl w:ilvl="3" w:tentative="0">
      <w:start w:val="1"/>
      <w:numFmt w:val="bullet"/>
      <w:lvlText w:val=""/>
      <w:lvlJc w:val="left"/>
      <w:pPr>
        <w:tabs>
          <w:tab w:val="left" w:pos="0"/>
        </w:tabs>
        <w:ind w:left="2040" w:hanging="420"/>
      </w:pPr>
      <w:rPr>
        <w:rFonts w:hint="default" w:ascii="Wingdings" w:hAnsi="Wingdings" w:cs="Wingdings"/>
      </w:rPr>
    </w:lvl>
    <w:lvl w:ilvl="4" w:tentative="0">
      <w:start w:val="1"/>
      <w:numFmt w:val="bullet"/>
      <w:lvlText w:val=""/>
      <w:lvlJc w:val="left"/>
      <w:pPr>
        <w:tabs>
          <w:tab w:val="left" w:pos="0"/>
        </w:tabs>
        <w:ind w:left="2460" w:hanging="420"/>
      </w:pPr>
      <w:rPr>
        <w:rFonts w:hint="default" w:ascii="Wingdings" w:hAnsi="Wingdings" w:cs="Wingdings"/>
      </w:rPr>
    </w:lvl>
    <w:lvl w:ilvl="5" w:tentative="0">
      <w:start w:val="1"/>
      <w:numFmt w:val="bullet"/>
      <w:lvlText w:val=""/>
      <w:lvlJc w:val="left"/>
      <w:pPr>
        <w:tabs>
          <w:tab w:val="left" w:pos="0"/>
        </w:tabs>
        <w:ind w:left="2880" w:hanging="420"/>
      </w:pPr>
      <w:rPr>
        <w:rFonts w:hint="default" w:ascii="Wingdings" w:hAnsi="Wingdings" w:cs="Wingdings"/>
      </w:rPr>
    </w:lvl>
    <w:lvl w:ilvl="6" w:tentative="0">
      <w:start w:val="1"/>
      <w:numFmt w:val="bullet"/>
      <w:lvlText w:val=""/>
      <w:lvlJc w:val="left"/>
      <w:pPr>
        <w:tabs>
          <w:tab w:val="left" w:pos="0"/>
        </w:tabs>
        <w:ind w:left="3300" w:hanging="420"/>
      </w:pPr>
      <w:rPr>
        <w:rFonts w:hint="default" w:ascii="Wingdings" w:hAnsi="Wingdings" w:cs="Wingdings"/>
      </w:rPr>
    </w:lvl>
    <w:lvl w:ilvl="7" w:tentative="0">
      <w:start w:val="1"/>
      <w:numFmt w:val="bullet"/>
      <w:lvlText w:val=""/>
      <w:lvlJc w:val="left"/>
      <w:pPr>
        <w:tabs>
          <w:tab w:val="left" w:pos="0"/>
        </w:tabs>
        <w:ind w:left="3720" w:hanging="420"/>
      </w:pPr>
      <w:rPr>
        <w:rFonts w:hint="default" w:ascii="Wingdings" w:hAnsi="Wingdings" w:cs="Wingdings"/>
      </w:rPr>
    </w:lvl>
    <w:lvl w:ilvl="8" w:tentative="0">
      <w:start w:val="1"/>
      <w:numFmt w:val="bullet"/>
      <w:lvlText w:val=""/>
      <w:lvlJc w:val="left"/>
      <w:pPr>
        <w:tabs>
          <w:tab w:val="left" w:pos="0"/>
        </w:tabs>
        <w:ind w:left="4140" w:hanging="420"/>
      </w:pPr>
      <w:rPr>
        <w:rFonts w:hint="default" w:ascii="Wingdings" w:hAnsi="Wingdings" w:cs="Wingdings"/>
      </w:rPr>
    </w:lvl>
  </w:abstractNum>
  <w:abstractNum w:abstractNumId="24">
    <w:nsid w:val="3A877D64"/>
    <w:multiLevelType w:val="singleLevel"/>
    <w:tmpl w:val="3A877D64"/>
    <w:lvl w:ilvl="0" w:tentative="0">
      <w:start w:val="1"/>
      <w:numFmt w:val="decimal"/>
      <w:pStyle w:val="40"/>
      <w:lvlText w:val="[%1]"/>
      <w:lvlJc w:val="left"/>
      <w:pPr>
        <w:tabs>
          <w:tab w:val="left" w:pos="360"/>
        </w:tabs>
        <w:ind w:left="360" w:hanging="360"/>
      </w:pPr>
    </w:lvl>
  </w:abstractNum>
  <w:abstractNum w:abstractNumId="25">
    <w:nsid w:val="413C6B39"/>
    <w:multiLevelType w:val="multilevel"/>
    <w:tmpl w:val="413C6B39"/>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6">
    <w:nsid w:val="45800DD9"/>
    <w:multiLevelType w:val="multilevel"/>
    <w:tmpl w:val="45800DD9"/>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7">
    <w:nsid w:val="49E17D2C"/>
    <w:multiLevelType w:val="multilevel"/>
    <w:tmpl w:val="49E17D2C"/>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8">
    <w:nsid w:val="4B1F283C"/>
    <w:multiLevelType w:val="singleLevel"/>
    <w:tmpl w:val="4B1F283C"/>
    <w:lvl w:ilvl="0" w:tentative="0">
      <w:start w:val="1"/>
      <w:numFmt w:val="bullet"/>
      <w:pStyle w:val="53"/>
      <w:lvlText w:val=""/>
      <w:lvlJc w:val="left"/>
      <w:pPr>
        <w:tabs>
          <w:tab w:val="left" w:pos="1843"/>
        </w:tabs>
        <w:ind w:left="1843" w:hanging="425"/>
      </w:pPr>
      <w:rPr>
        <w:rFonts w:hint="default" w:ascii="Symbol" w:hAnsi="Symbol"/>
      </w:rPr>
    </w:lvl>
  </w:abstractNum>
  <w:abstractNum w:abstractNumId="29">
    <w:nsid w:val="62674663"/>
    <w:multiLevelType w:val="multilevel"/>
    <w:tmpl w:val="6267466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659715AB"/>
    <w:multiLevelType w:val="singleLevel"/>
    <w:tmpl w:val="659715AB"/>
    <w:lvl w:ilvl="0" w:tentative="0">
      <w:start w:val="1"/>
      <w:numFmt w:val="bullet"/>
      <w:lvlText w:val=""/>
      <w:lvlJc w:val="left"/>
      <w:pPr>
        <w:ind w:left="420" w:hanging="420"/>
      </w:pPr>
      <w:rPr>
        <w:rFonts w:hint="default" w:ascii="Wingdings" w:hAnsi="Wingdings"/>
      </w:rPr>
    </w:lvl>
  </w:abstractNum>
  <w:abstractNum w:abstractNumId="31">
    <w:nsid w:val="69AA6330"/>
    <w:multiLevelType w:val="multilevel"/>
    <w:tmpl w:val="69AA6330"/>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2">
    <w:nsid w:val="74FD6F12"/>
    <w:multiLevelType w:val="multilevel"/>
    <w:tmpl w:val="74FD6F1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3">
    <w:nsid w:val="772F2623"/>
    <w:multiLevelType w:val="multilevel"/>
    <w:tmpl w:val="772F262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4">
    <w:nsid w:val="7B08F41A"/>
    <w:multiLevelType w:val="multilevel"/>
    <w:tmpl w:val="7B08F41A"/>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宋体-繁" w:hAnsi="宋体-繁"/>
      </w:rPr>
    </w:lvl>
    <w:lvl w:ilvl="2" w:tentative="0">
      <w:start w:val="1"/>
      <w:numFmt w:val="bullet"/>
      <w:lvlText w:val=""/>
      <w:lvlJc w:val="left"/>
      <w:pPr>
        <w:tabs>
          <w:tab w:val="left" w:pos="1260"/>
        </w:tabs>
        <w:ind w:left="1680" w:leftChars="0" w:hanging="420" w:firstLineChars="0"/>
      </w:pPr>
      <w:rPr>
        <w:rFonts w:hint="default" w:ascii="宋体-繁" w:hAnsi="宋体-繁"/>
      </w:rPr>
    </w:lvl>
    <w:lvl w:ilvl="3" w:tentative="0">
      <w:start w:val="1"/>
      <w:numFmt w:val="bullet"/>
      <w:lvlText w:val=""/>
      <w:lvlJc w:val="left"/>
      <w:pPr>
        <w:tabs>
          <w:tab w:val="left" w:pos="1680"/>
        </w:tabs>
        <w:ind w:left="2100" w:leftChars="0" w:hanging="420" w:firstLineChars="0"/>
      </w:pPr>
      <w:rPr>
        <w:rFonts w:hint="default" w:ascii="宋体-繁" w:hAnsi="宋体-繁"/>
      </w:rPr>
    </w:lvl>
    <w:lvl w:ilvl="4" w:tentative="0">
      <w:start w:val="1"/>
      <w:numFmt w:val="bullet"/>
      <w:lvlText w:val=""/>
      <w:lvlJc w:val="left"/>
      <w:pPr>
        <w:tabs>
          <w:tab w:val="left" w:pos="2100"/>
        </w:tabs>
        <w:ind w:left="2520" w:leftChars="0" w:hanging="420" w:firstLineChars="0"/>
      </w:pPr>
      <w:rPr>
        <w:rFonts w:hint="default" w:ascii="宋体-繁" w:hAnsi="宋体-繁"/>
      </w:rPr>
    </w:lvl>
    <w:lvl w:ilvl="5" w:tentative="0">
      <w:start w:val="1"/>
      <w:numFmt w:val="bullet"/>
      <w:lvlText w:val=""/>
      <w:lvlJc w:val="left"/>
      <w:pPr>
        <w:tabs>
          <w:tab w:val="left" w:pos="2520"/>
        </w:tabs>
        <w:ind w:left="2940" w:leftChars="0" w:hanging="420" w:firstLineChars="0"/>
      </w:pPr>
      <w:rPr>
        <w:rFonts w:hint="default" w:ascii="宋体-繁" w:hAnsi="宋体-繁"/>
      </w:rPr>
    </w:lvl>
    <w:lvl w:ilvl="6" w:tentative="0">
      <w:start w:val="1"/>
      <w:numFmt w:val="bullet"/>
      <w:lvlText w:val=""/>
      <w:lvlJc w:val="left"/>
      <w:pPr>
        <w:tabs>
          <w:tab w:val="left" w:pos="2940"/>
        </w:tabs>
        <w:ind w:left="3360" w:leftChars="0" w:hanging="420" w:firstLineChars="0"/>
      </w:pPr>
      <w:rPr>
        <w:rFonts w:hint="default" w:ascii="宋体-繁" w:hAnsi="宋体-繁"/>
      </w:rPr>
    </w:lvl>
    <w:lvl w:ilvl="7" w:tentative="0">
      <w:start w:val="1"/>
      <w:numFmt w:val="bullet"/>
      <w:lvlText w:val=""/>
      <w:lvlJc w:val="left"/>
      <w:pPr>
        <w:tabs>
          <w:tab w:val="left" w:pos="3360"/>
        </w:tabs>
        <w:ind w:left="3780" w:leftChars="0" w:hanging="420" w:firstLineChars="0"/>
      </w:pPr>
      <w:rPr>
        <w:rFonts w:hint="default" w:ascii="宋体-繁" w:hAnsi="宋体-繁"/>
      </w:rPr>
    </w:lvl>
    <w:lvl w:ilvl="8" w:tentative="0">
      <w:start w:val="1"/>
      <w:numFmt w:val="bullet"/>
      <w:lvlText w:val=""/>
      <w:lvlJc w:val="left"/>
      <w:pPr>
        <w:tabs>
          <w:tab w:val="left" w:pos="3780"/>
        </w:tabs>
        <w:ind w:left="4200" w:leftChars="0" w:hanging="420" w:firstLineChars="0"/>
      </w:pPr>
      <w:rPr>
        <w:rFonts w:hint="default" w:ascii="宋体-繁" w:hAnsi="宋体-繁"/>
      </w:rPr>
    </w:lvl>
  </w:abstractNum>
  <w:abstractNum w:abstractNumId="35">
    <w:nsid w:val="7C267F9C"/>
    <w:multiLevelType w:val="multilevel"/>
    <w:tmpl w:val="7C267F9C"/>
    <w:lvl w:ilvl="0" w:tentative="0">
      <w:start w:val="0"/>
      <w:numFmt w:val="bullet"/>
      <w:pStyle w:val="73"/>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2"/>
  </w:num>
  <w:num w:numId="2">
    <w:abstractNumId w:val="12"/>
  </w:num>
  <w:num w:numId="3">
    <w:abstractNumId w:val="13"/>
  </w:num>
  <w:num w:numId="4">
    <w:abstractNumId w:val="24"/>
  </w:num>
  <w:num w:numId="5">
    <w:abstractNumId w:val="28"/>
  </w:num>
  <w:num w:numId="6">
    <w:abstractNumId w:val="14"/>
    <w:lvlOverride w:ilvl="0">
      <w:lvl w:ilvl="0" w:tentative="1">
        <w:start w:val="1"/>
        <w:numFmt w:val="bullet"/>
        <w:pStyle w:val="68"/>
        <w:lvlText w:val=""/>
        <w:legacy w:legacy="1" w:legacySpace="0" w:legacyIndent="360"/>
        <w:lvlJc w:val="left"/>
        <w:pPr>
          <w:ind w:left="360" w:hanging="360"/>
        </w:pPr>
        <w:rPr>
          <w:rFonts w:hint="default" w:ascii="Symbol" w:hAnsi="Symbol"/>
        </w:rPr>
      </w:lvl>
    </w:lvlOverride>
  </w:num>
  <w:num w:numId="7">
    <w:abstractNumId w:val="35"/>
  </w:num>
  <w:num w:numId="8">
    <w:abstractNumId w:val="6"/>
  </w:num>
  <w:num w:numId="9">
    <w:abstractNumId w:val="33"/>
  </w:num>
  <w:num w:numId="10">
    <w:abstractNumId w:val="15"/>
  </w:num>
  <w:num w:numId="11">
    <w:abstractNumId w:val="25"/>
  </w:num>
  <w:num w:numId="12">
    <w:abstractNumId w:val="5"/>
  </w:num>
  <w:num w:numId="13">
    <w:abstractNumId w:val="21"/>
  </w:num>
  <w:num w:numId="14">
    <w:abstractNumId w:val="20"/>
  </w:num>
  <w:num w:numId="15">
    <w:abstractNumId w:val="8"/>
  </w:num>
  <w:num w:numId="16">
    <w:abstractNumId w:val="17"/>
  </w:num>
  <w:num w:numId="17">
    <w:abstractNumId w:val="30"/>
  </w:num>
  <w:num w:numId="18">
    <w:abstractNumId w:val="27"/>
  </w:num>
  <w:num w:numId="19">
    <w:abstractNumId w:val="34"/>
  </w:num>
  <w:num w:numId="20">
    <w:abstractNumId w:val="1"/>
  </w:num>
  <w:num w:numId="21">
    <w:abstractNumId w:val="29"/>
  </w:num>
  <w:num w:numId="22">
    <w:abstractNumId w:val="32"/>
  </w:num>
  <w:num w:numId="23">
    <w:abstractNumId w:val="23"/>
  </w:num>
  <w:num w:numId="24">
    <w:abstractNumId w:val="16"/>
  </w:num>
  <w:num w:numId="25">
    <w:abstractNumId w:val="26"/>
  </w:num>
  <w:num w:numId="26">
    <w:abstractNumId w:val="19"/>
  </w:num>
  <w:num w:numId="27">
    <w:abstractNumId w:val="11"/>
  </w:num>
  <w:num w:numId="28">
    <w:abstractNumId w:val="18"/>
  </w:num>
  <w:num w:numId="29">
    <w:abstractNumId w:val="31"/>
  </w:num>
  <w:num w:numId="30">
    <w:abstractNumId w:val="10"/>
  </w:num>
  <w:num w:numId="31">
    <w:abstractNumId w:val="4"/>
  </w:num>
  <w:num w:numId="32">
    <w:abstractNumId w:val="7"/>
  </w:num>
  <w:num w:numId="33">
    <w:abstractNumId w:val="0"/>
  </w:num>
  <w:num w:numId="34">
    <w:abstractNumId w:val="2"/>
  </w:num>
  <w:num w:numId="35">
    <w:abstractNumId w:val="9"/>
  </w:num>
  <w:num w:numId="3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简荣灵">
    <w15:presenceInfo w15:providerId="WPS Office" w15:userId="17582144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40"/>
  <w:doNotDisplayPageBoundaries w:val="1"/>
  <w:embedSystem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Q2ZTczMjliODMxYjBmYjM3MTcwM2M5Njg4MzIxODEifQ=="/>
  </w:docVars>
  <w:rsids>
    <w:rsidRoot w:val="00CF5263"/>
    <w:rsid w:val="000004E1"/>
    <w:rsid w:val="00000825"/>
    <w:rsid w:val="00000D04"/>
    <w:rsid w:val="00000DB2"/>
    <w:rsid w:val="0000195C"/>
    <w:rsid w:val="00001989"/>
    <w:rsid w:val="000020F6"/>
    <w:rsid w:val="00002893"/>
    <w:rsid w:val="00002C6C"/>
    <w:rsid w:val="000033A3"/>
    <w:rsid w:val="00003605"/>
    <w:rsid w:val="00003C56"/>
    <w:rsid w:val="00003EC2"/>
    <w:rsid w:val="000040A9"/>
    <w:rsid w:val="0000458E"/>
    <w:rsid w:val="00004CA4"/>
    <w:rsid w:val="00004E70"/>
    <w:rsid w:val="00006346"/>
    <w:rsid w:val="00006DDC"/>
    <w:rsid w:val="000072B6"/>
    <w:rsid w:val="00007813"/>
    <w:rsid w:val="00010407"/>
    <w:rsid w:val="000109E6"/>
    <w:rsid w:val="00010B42"/>
    <w:rsid w:val="00011F67"/>
    <w:rsid w:val="00012712"/>
    <w:rsid w:val="00012862"/>
    <w:rsid w:val="000128E6"/>
    <w:rsid w:val="00013016"/>
    <w:rsid w:val="000149E6"/>
    <w:rsid w:val="00015EFB"/>
    <w:rsid w:val="00016553"/>
    <w:rsid w:val="000165E2"/>
    <w:rsid w:val="00016DFD"/>
    <w:rsid w:val="000172BE"/>
    <w:rsid w:val="00017D8A"/>
    <w:rsid w:val="000203AF"/>
    <w:rsid w:val="00020EB8"/>
    <w:rsid w:val="00021595"/>
    <w:rsid w:val="000224ED"/>
    <w:rsid w:val="00022BDB"/>
    <w:rsid w:val="00022FF3"/>
    <w:rsid w:val="00023388"/>
    <w:rsid w:val="00023425"/>
    <w:rsid w:val="00023FB1"/>
    <w:rsid w:val="000241BE"/>
    <w:rsid w:val="000242F2"/>
    <w:rsid w:val="00024838"/>
    <w:rsid w:val="00024C72"/>
    <w:rsid w:val="00024C7B"/>
    <w:rsid w:val="000256F4"/>
    <w:rsid w:val="0002630F"/>
    <w:rsid w:val="00026D4B"/>
    <w:rsid w:val="00027121"/>
    <w:rsid w:val="000275C6"/>
    <w:rsid w:val="00027AD6"/>
    <w:rsid w:val="0003024C"/>
    <w:rsid w:val="000302A5"/>
    <w:rsid w:val="000312B8"/>
    <w:rsid w:val="00031ADB"/>
    <w:rsid w:val="00032056"/>
    <w:rsid w:val="000328CA"/>
    <w:rsid w:val="00032E40"/>
    <w:rsid w:val="0003376B"/>
    <w:rsid w:val="00034511"/>
    <w:rsid w:val="00034676"/>
    <w:rsid w:val="000346E6"/>
    <w:rsid w:val="0003492C"/>
    <w:rsid w:val="000352B3"/>
    <w:rsid w:val="00035317"/>
    <w:rsid w:val="00035370"/>
    <w:rsid w:val="000366FF"/>
    <w:rsid w:val="000367A7"/>
    <w:rsid w:val="000377AE"/>
    <w:rsid w:val="000378AE"/>
    <w:rsid w:val="00037F4F"/>
    <w:rsid w:val="000401B4"/>
    <w:rsid w:val="0004023E"/>
    <w:rsid w:val="0004024B"/>
    <w:rsid w:val="00040D00"/>
    <w:rsid w:val="00041C57"/>
    <w:rsid w:val="00043358"/>
    <w:rsid w:val="000434B7"/>
    <w:rsid w:val="000435E4"/>
    <w:rsid w:val="00044713"/>
    <w:rsid w:val="000449AC"/>
    <w:rsid w:val="00044AB4"/>
    <w:rsid w:val="00044F91"/>
    <w:rsid w:val="00044FEC"/>
    <w:rsid w:val="00045411"/>
    <w:rsid w:val="00046796"/>
    <w:rsid w:val="000467FD"/>
    <w:rsid w:val="00046AAF"/>
    <w:rsid w:val="00047225"/>
    <w:rsid w:val="0004747C"/>
    <w:rsid w:val="000474FA"/>
    <w:rsid w:val="00047E60"/>
    <w:rsid w:val="000507AA"/>
    <w:rsid w:val="00050860"/>
    <w:rsid w:val="00052AD2"/>
    <w:rsid w:val="00052E0B"/>
    <w:rsid w:val="000530DF"/>
    <w:rsid w:val="000532AA"/>
    <w:rsid w:val="00054E0C"/>
    <w:rsid w:val="0005541D"/>
    <w:rsid w:val="00055652"/>
    <w:rsid w:val="00055CD6"/>
    <w:rsid w:val="00055CD7"/>
    <w:rsid w:val="000565C8"/>
    <w:rsid w:val="00057DC8"/>
    <w:rsid w:val="000600BB"/>
    <w:rsid w:val="00060C8B"/>
    <w:rsid w:val="0006106C"/>
    <w:rsid w:val="000612E1"/>
    <w:rsid w:val="000614FE"/>
    <w:rsid w:val="00061D60"/>
    <w:rsid w:val="00063B36"/>
    <w:rsid w:val="0006422F"/>
    <w:rsid w:val="0006531B"/>
    <w:rsid w:val="000657BF"/>
    <w:rsid w:val="00065D38"/>
    <w:rsid w:val="00067CF5"/>
    <w:rsid w:val="00067DD1"/>
    <w:rsid w:val="00070397"/>
    <w:rsid w:val="00070447"/>
    <w:rsid w:val="000706E7"/>
    <w:rsid w:val="000706F4"/>
    <w:rsid w:val="00070C5E"/>
    <w:rsid w:val="00070EF8"/>
    <w:rsid w:val="00070F38"/>
    <w:rsid w:val="000710FE"/>
    <w:rsid w:val="00071192"/>
    <w:rsid w:val="000713A7"/>
    <w:rsid w:val="00071587"/>
    <w:rsid w:val="00071F4D"/>
    <w:rsid w:val="00072108"/>
    <w:rsid w:val="00072A80"/>
    <w:rsid w:val="000731A0"/>
    <w:rsid w:val="000736C1"/>
    <w:rsid w:val="00073797"/>
    <w:rsid w:val="0007399C"/>
    <w:rsid w:val="00073DEC"/>
    <w:rsid w:val="000745AA"/>
    <w:rsid w:val="00074E86"/>
    <w:rsid w:val="0007521B"/>
    <w:rsid w:val="00075C01"/>
    <w:rsid w:val="00076097"/>
    <w:rsid w:val="00076541"/>
    <w:rsid w:val="000772F4"/>
    <w:rsid w:val="000776EB"/>
    <w:rsid w:val="00080A69"/>
    <w:rsid w:val="000823B0"/>
    <w:rsid w:val="0008335B"/>
    <w:rsid w:val="00083379"/>
    <w:rsid w:val="00083587"/>
    <w:rsid w:val="00083838"/>
    <w:rsid w:val="00083B6A"/>
    <w:rsid w:val="0008501C"/>
    <w:rsid w:val="00085E04"/>
    <w:rsid w:val="00086800"/>
    <w:rsid w:val="00087913"/>
    <w:rsid w:val="000902DC"/>
    <w:rsid w:val="000911AE"/>
    <w:rsid w:val="00091271"/>
    <w:rsid w:val="0009268D"/>
    <w:rsid w:val="0009269B"/>
    <w:rsid w:val="000933FB"/>
    <w:rsid w:val="00093697"/>
    <w:rsid w:val="00093773"/>
    <w:rsid w:val="00093D42"/>
    <w:rsid w:val="00093DD0"/>
    <w:rsid w:val="000944A1"/>
    <w:rsid w:val="00094A16"/>
    <w:rsid w:val="00094DE6"/>
    <w:rsid w:val="00094EDF"/>
    <w:rsid w:val="00096356"/>
    <w:rsid w:val="00096420"/>
    <w:rsid w:val="00096785"/>
    <w:rsid w:val="00096AF9"/>
    <w:rsid w:val="00097437"/>
    <w:rsid w:val="00097A13"/>
    <w:rsid w:val="00097C99"/>
    <w:rsid w:val="000A01AC"/>
    <w:rsid w:val="000A0F14"/>
    <w:rsid w:val="000A1441"/>
    <w:rsid w:val="000A1A06"/>
    <w:rsid w:val="000A1B60"/>
    <w:rsid w:val="000A21B4"/>
    <w:rsid w:val="000A2CC7"/>
    <w:rsid w:val="000A2ED6"/>
    <w:rsid w:val="000A3156"/>
    <w:rsid w:val="000A354E"/>
    <w:rsid w:val="000A4205"/>
    <w:rsid w:val="000A45DE"/>
    <w:rsid w:val="000A4A19"/>
    <w:rsid w:val="000A4DBA"/>
    <w:rsid w:val="000A4FE8"/>
    <w:rsid w:val="000A50DF"/>
    <w:rsid w:val="000A56DB"/>
    <w:rsid w:val="000A56DD"/>
    <w:rsid w:val="000A5A40"/>
    <w:rsid w:val="000A6351"/>
    <w:rsid w:val="000A63D6"/>
    <w:rsid w:val="000A70C3"/>
    <w:rsid w:val="000A7B38"/>
    <w:rsid w:val="000B0343"/>
    <w:rsid w:val="000B15EB"/>
    <w:rsid w:val="000B23C6"/>
    <w:rsid w:val="000B2588"/>
    <w:rsid w:val="000B2985"/>
    <w:rsid w:val="000B2C88"/>
    <w:rsid w:val="000B3342"/>
    <w:rsid w:val="000B3AA2"/>
    <w:rsid w:val="000B51FA"/>
    <w:rsid w:val="000B5905"/>
    <w:rsid w:val="000B5975"/>
    <w:rsid w:val="000B5B6F"/>
    <w:rsid w:val="000B5E70"/>
    <w:rsid w:val="000B6E2C"/>
    <w:rsid w:val="000B76C5"/>
    <w:rsid w:val="000B7A10"/>
    <w:rsid w:val="000C02FB"/>
    <w:rsid w:val="000C070F"/>
    <w:rsid w:val="000C0EA5"/>
    <w:rsid w:val="000C115D"/>
    <w:rsid w:val="000C1461"/>
    <w:rsid w:val="000C14AC"/>
    <w:rsid w:val="000C1535"/>
    <w:rsid w:val="000C252B"/>
    <w:rsid w:val="000C2CA9"/>
    <w:rsid w:val="000C2FBD"/>
    <w:rsid w:val="000C301A"/>
    <w:rsid w:val="000C34A4"/>
    <w:rsid w:val="000C3A7F"/>
    <w:rsid w:val="000C3B0C"/>
    <w:rsid w:val="000C3D63"/>
    <w:rsid w:val="000C422D"/>
    <w:rsid w:val="000C4824"/>
    <w:rsid w:val="000C4ADF"/>
    <w:rsid w:val="000C4B77"/>
    <w:rsid w:val="000C5021"/>
    <w:rsid w:val="000C5ED4"/>
    <w:rsid w:val="000C5F91"/>
    <w:rsid w:val="000C6025"/>
    <w:rsid w:val="000C7100"/>
    <w:rsid w:val="000C7984"/>
    <w:rsid w:val="000C7B9E"/>
    <w:rsid w:val="000C7D1C"/>
    <w:rsid w:val="000C7E42"/>
    <w:rsid w:val="000D0565"/>
    <w:rsid w:val="000D074A"/>
    <w:rsid w:val="000D0E4E"/>
    <w:rsid w:val="000D0E57"/>
    <w:rsid w:val="000D0F3B"/>
    <w:rsid w:val="000D113C"/>
    <w:rsid w:val="000D12D1"/>
    <w:rsid w:val="000D159A"/>
    <w:rsid w:val="000D1796"/>
    <w:rsid w:val="000D1EB5"/>
    <w:rsid w:val="000D22CC"/>
    <w:rsid w:val="000D2FDA"/>
    <w:rsid w:val="000D319A"/>
    <w:rsid w:val="000D329F"/>
    <w:rsid w:val="000D36AE"/>
    <w:rsid w:val="000D38A1"/>
    <w:rsid w:val="000D390A"/>
    <w:rsid w:val="000D415F"/>
    <w:rsid w:val="000D4C4E"/>
    <w:rsid w:val="000D5077"/>
    <w:rsid w:val="000D5362"/>
    <w:rsid w:val="000D57F8"/>
    <w:rsid w:val="000D5851"/>
    <w:rsid w:val="000D59C0"/>
    <w:rsid w:val="000D5C60"/>
    <w:rsid w:val="000D71E2"/>
    <w:rsid w:val="000D73A5"/>
    <w:rsid w:val="000D7DC5"/>
    <w:rsid w:val="000E07D6"/>
    <w:rsid w:val="000E0BC6"/>
    <w:rsid w:val="000E0FD0"/>
    <w:rsid w:val="000E106A"/>
    <w:rsid w:val="000E10AD"/>
    <w:rsid w:val="000E1380"/>
    <w:rsid w:val="000E13D1"/>
    <w:rsid w:val="000E18DF"/>
    <w:rsid w:val="000E1BDE"/>
    <w:rsid w:val="000E2004"/>
    <w:rsid w:val="000E2A77"/>
    <w:rsid w:val="000E2EC1"/>
    <w:rsid w:val="000E499F"/>
    <w:rsid w:val="000E4ABA"/>
    <w:rsid w:val="000E53C0"/>
    <w:rsid w:val="000E59A0"/>
    <w:rsid w:val="000E5C63"/>
    <w:rsid w:val="000E7A84"/>
    <w:rsid w:val="000F0E23"/>
    <w:rsid w:val="000F1004"/>
    <w:rsid w:val="000F15BC"/>
    <w:rsid w:val="000F1757"/>
    <w:rsid w:val="000F180A"/>
    <w:rsid w:val="000F1C92"/>
    <w:rsid w:val="000F1F17"/>
    <w:rsid w:val="000F2A37"/>
    <w:rsid w:val="000F2EEE"/>
    <w:rsid w:val="000F3697"/>
    <w:rsid w:val="000F3909"/>
    <w:rsid w:val="000F3C7E"/>
    <w:rsid w:val="000F55E3"/>
    <w:rsid w:val="000F5BF3"/>
    <w:rsid w:val="000F5F90"/>
    <w:rsid w:val="000F6699"/>
    <w:rsid w:val="000F7F58"/>
    <w:rsid w:val="000F7F98"/>
    <w:rsid w:val="00100128"/>
    <w:rsid w:val="00100FF3"/>
    <w:rsid w:val="001026CA"/>
    <w:rsid w:val="00103569"/>
    <w:rsid w:val="0010409A"/>
    <w:rsid w:val="001043C2"/>
    <w:rsid w:val="001043E1"/>
    <w:rsid w:val="0010505A"/>
    <w:rsid w:val="00105A46"/>
    <w:rsid w:val="00105CC7"/>
    <w:rsid w:val="00105E42"/>
    <w:rsid w:val="00106032"/>
    <w:rsid w:val="001067C8"/>
    <w:rsid w:val="00107037"/>
    <w:rsid w:val="00107779"/>
    <w:rsid w:val="001078C2"/>
    <w:rsid w:val="00107E1C"/>
    <w:rsid w:val="00110243"/>
    <w:rsid w:val="001104C2"/>
    <w:rsid w:val="00110F68"/>
    <w:rsid w:val="001112C4"/>
    <w:rsid w:val="00111444"/>
    <w:rsid w:val="00111723"/>
    <w:rsid w:val="001129B5"/>
    <w:rsid w:val="00112BE6"/>
    <w:rsid w:val="00113B94"/>
    <w:rsid w:val="001141E3"/>
    <w:rsid w:val="001144DF"/>
    <w:rsid w:val="001154E5"/>
    <w:rsid w:val="0011557B"/>
    <w:rsid w:val="00115F9D"/>
    <w:rsid w:val="00116739"/>
    <w:rsid w:val="00117C85"/>
    <w:rsid w:val="001205C1"/>
    <w:rsid w:val="00120B0B"/>
    <w:rsid w:val="00120B13"/>
    <w:rsid w:val="00120BD7"/>
    <w:rsid w:val="0012211B"/>
    <w:rsid w:val="00124CCA"/>
    <w:rsid w:val="00124D84"/>
    <w:rsid w:val="001250DD"/>
    <w:rsid w:val="00125733"/>
    <w:rsid w:val="001263AA"/>
    <w:rsid w:val="00126DD3"/>
    <w:rsid w:val="00127981"/>
    <w:rsid w:val="00130779"/>
    <w:rsid w:val="001307A1"/>
    <w:rsid w:val="00130D22"/>
    <w:rsid w:val="001321D3"/>
    <w:rsid w:val="00133599"/>
    <w:rsid w:val="00133BF7"/>
    <w:rsid w:val="00134B88"/>
    <w:rsid w:val="001357D2"/>
    <w:rsid w:val="00136A23"/>
    <w:rsid w:val="00136A49"/>
    <w:rsid w:val="00136B99"/>
    <w:rsid w:val="00137BCF"/>
    <w:rsid w:val="00140501"/>
    <w:rsid w:val="0014063E"/>
    <w:rsid w:val="0014087D"/>
    <w:rsid w:val="001408A7"/>
    <w:rsid w:val="00140F74"/>
    <w:rsid w:val="00141191"/>
    <w:rsid w:val="0014159C"/>
    <w:rsid w:val="00141B17"/>
    <w:rsid w:val="00142665"/>
    <w:rsid w:val="0014384A"/>
    <w:rsid w:val="0014450F"/>
    <w:rsid w:val="00144D8F"/>
    <w:rsid w:val="00145C74"/>
    <w:rsid w:val="00145C8F"/>
    <w:rsid w:val="001462E9"/>
    <w:rsid w:val="00146E32"/>
    <w:rsid w:val="0014747A"/>
    <w:rsid w:val="00147888"/>
    <w:rsid w:val="00151619"/>
    <w:rsid w:val="001517D2"/>
    <w:rsid w:val="00151D2A"/>
    <w:rsid w:val="001522F2"/>
    <w:rsid w:val="00152835"/>
    <w:rsid w:val="001534AA"/>
    <w:rsid w:val="00153629"/>
    <w:rsid w:val="0015368D"/>
    <w:rsid w:val="00153E26"/>
    <w:rsid w:val="001554C3"/>
    <w:rsid w:val="001559FA"/>
    <w:rsid w:val="001562BC"/>
    <w:rsid w:val="00156374"/>
    <w:rsid w:val="00156D6E"/>
    <w:rsid w:val="001577D8"/>
    <w:rsid w:val="00157FC3"/>
    <w:rsid w:val="00160739"/>
    <w:rsid w:val="00161EEE"/>
    <w:rsid w:val="0016271E"/>
    <w:rsid w:val="00162D7A"/>
    <w:rsid w:val="001635BC"/>
    <w:rsid w:val="00163F06"/>
    <w:rsid w:val="0016449D"/>
    <w:rsid w:val="00164DAB"/>
    <w:rsid w:val="00165BBB"/>
    <w:rsid w:val="0016613F"/>
    <w:rsid w:val="00166215"/>
    <w:rsid w:val="00166591"/>
    <w:rsid w:val="001667A2"/>
    <w:rsid w:val="00171143"/>
    <w:rsid w:val="0017122B"/>
    <w:rsid w:val="00171C5C"/>
    <w:rsid w:val="00172864"/>
    <w:rsid w:val="00172B82"/>
    <w:rsid w:val="00172DB7"/>
    <w:rsid w:val="00172EFA"/>
    <w:rsid w:val="00173608"/>
    <w:rsid w:val="00174538"/>
    <w:rsid w:val="001745EC"/>
    <w:rsid w:val="001747B7"/>
    <w:rsid w:val="001753C2"/>
    <w:rsid w:val="00175C30"/>
    <w:rsid w:val="00177069"/>
    <w:rsid w:val="00177406"/>
    <w:rsid w:val="00177A1D"/>
    <w:rsid w:val="00177FC1"/>
    <w:rsid w:val="00180E50"/>
    <w:rsid w:val="0018149E"/>
    <w:rsid w:val="001815A2"/>
    <w:rsid w:val="00181FC1"/>
    <w:rsid w:val="00182EB1"/>
    <w:rsid w:val="00183034"/>
    <w:rsid w:val="001830F7"/>
    <w:rsid w:val="00183EA5"/>
    <w:rsid w:val="00183EE6"/>
    <w:rsid w:val="0018588A"/>
    <w:rsid w:val="0018688E"/>
    <w:rsid w:val="00186FB5"/>
    <w:rsid w:val="00187252"/>
    <w:rsid w:val="0019053D"/>
    <w:rsid w:val="00190B5B"/>
    <w:rsid w:val="001913CF"/>
    <w:rsid w:val="001918AA"/>
    <w:rsid w:val="00191C91"/>
    <w:rsid w:val="0019264D"/>
    <w:rsid w:val="00192DD9"/>
    <w:rsid w:val="00193CF5"/>
    <w:rsid w:val="00194339"/>
    <w:rsid w:val="00194848"/>
    <w:rsid w:val="0019500D"/>
    <w:rsid w:val="001958EA"/>
    <w:rsid w:val="00195E0E"/>
    <w:rsid w:val="0019617B"/>
    <w:rsid w:val="001972F1"/>
    <w:rsid w:val="001A04A2"/>
    <w:rsid w:val="001A05B7"/>
    <w:rsid w:val="001A0C62"/>
    <w:rsid w:val="001A0EEE"/>
    <w:rsid w:val="001A1396"/>
    <w:rsid w:val="001A180D"/>
    <w:rsid w:val="001A1BAC"/>
    <w:rsid w:val="001A1BE6"/>
    <w:rsid w:val="001A23CE"/>
    <w:rsid w:val="001A291B"/>
    <w:rsid w:val="001A2C89"/>
    <w:rsid w:val="001A2EF7"/>
    <w:rsid w:val="001A33BB"/>
    <w:rsid w:val="001A50CE"/>
    <w:rsid w:val="001A5715"/>
    <w:rsid w:val="001A59D0"/>
    <w:rsid w:val="001A5F1C"/>
    <w:rsid w:val="001A673E"/>
    <w:rsid w:val="001A7763"/>
    <w:rsid w:val="001A7844"/>
    <w:rsid w:val="001A7ED9"/>
    <w:rsid w:val="001B10F7"/>
    <w:rsid w:val="001B17C6"/>
    <w:rsid w:val="001B1EF4"/>
    <w:rsid w:val="001B3964"/>
    <w:rsid w:val="001B433D"/>
    <w:rsid w:val="001B4452"/>
    <w:rsid w:val="001B466C"/>
    <w:rsid w:val="001B4797"/>
    <w:rsid w:val="001B4F34"/>
    <w:rsid w:val="001B52EC"/>
    <w:rsid w:val="001B532E"/>
    <w:rsid w:val="001B554A"/>
    <w:rsid w:val="001B6564"/>
    <w:rsid w:val="001B691A"/>
    <w:rsid w:val="001B6D52"/>
    <w:rsid w:val="001B71CE"/>
    <w:rsid w:val="001C02D8"/>
    <w:rsid w:val="001C04E3"/>
    <w:rsid w:val="001C0A80"/>
    <w:rsid w:val="001C0AC4"/>
    <w:rsid w:val="001C0F86"/>
    <w:rsid w:val="001C1022"/>
    <w:rsid w:val="001C14E6"/>
    <w:rsid w:val="001C1BA5"/>
    <w:rsid w:val="001C1C34"/>
    <w:rsid w:val="001C2378"/>
    <w:rsid w:val="001C2A8F"/>
    <w:rsid w:val="001C2E6E"/>
    <w:rsid w:val="001C310C"/>
    <w:rsid w:val="001C386C"/>
    <w:rsid w:val="001C39A1"/>
    <w:rsid w:val="001C3AE5"/>
    <w:rsid w:val="001C3CC5"/>
    <w:rsid w:val="001C3EE9"/>
    <w:rsid w:val="001C3FA4"/>
    <w:rsid w:val="001C40F9"/>
    <w:rsid w:val="001C44F9"/>
    <w:rsid w:val="001C458B"/>
    <w:rsid w:val="001C476F"/>
    <w:rsid w:val="001C52BE"/>
    <w:rsid w:val="001C533E"/>
    <w:rsid w:val="001C5B07"/>
    <w:rsid w:val="001C5C79"/>
    <w:rsid w:val="001C5D4F"/>
    <w:rsid w:val="001C64C0"/>
    <w:rsid w:val="001C665D"/>
    <w:rsid w:val="001C66C6"/>
    <w:rsid w:val="001C69DA"/>
    <w:rsid w:val="001C6F06"/>
    <w:rsid w:val="001C783F"/>
    <w:rsid w:val="001C7BCC"/>
    <w:rsid w:val="001C7E88"/>
    <w:rsid w:val="001D03E5"/>
    <w:rsid w:val="001D070C"/>
    <w:rsid w:val="001D10A3"/>
    <w:rsid w:val="001D17FF"/>
    <w:rsid w:val="001D1B4E"/>
    <w:rsid w:val="001D2360"/>
    <w:rsid w:val="001D3109"/>
    <w:rsid w:val="001D332E"/>
    <w:rsid w:val="001D3DAD"/>
    <w:rsid w:val="001D5033"/>
    <w:rsid w:val="001D5C88"/>
    <w:rsid w:val="001D617B"/>
    <w:rsid w:val="001D6567"/>
    <w:rsid w:val="001D67B0"/>
    <w:rsid w:val="001D695C"/>
    <w:rsid w:val="001D6FD9"/>
    <w:rsid w:val="001D7389"/>
    <w:rsid w:val="001D73B7"/>
    <w:rsid w:val="001D74AD"/>
    <w:rsid w:val="001D780E"/>
    <w:rsid w:val="001E02E4"/>
    <w:rsid w:val="001E05C3"/>
    <w:rsid w:val="001E0AD3"/>
    <w:rsid w:val="001E2735"/>
    <w:rsid w:val="001E36E4"/>
    <w:rsid w:val="001E379D"/>
    <w:rsid w:val="001E3A3C"/>
    <w:rsid w:val="001E5107"/>
    <w:rsid w:val="001E557D"/>
    <w:rsid w:val="001E56DB"/>
    <w:rsid w:val="001E5C23"/>
    <w:rsid w:val="001E6DE4"/>
    <w:rsid w:val="001E7504"/>
    <w:rsid w:val="001E76DF"/>
    <w:rsid w:val="001E7842"/>
    <w:rsid w:val="001F02AA"/>
    <w:rsid w:val="001F09A2"/>
    <w:rsid w:val="001F0DCE"/>
    <w:rsid w:val="001F1308"/>
    <w:rsid w:val="001F1525"/>
    <w:rsid w:val="001F1E87"/>
    <w:rsid w:val="001F1EB6"/>
    <w:rsid w:val="001F2059"/>
    <w:rsid w:val="001F2E23"/>
    <w:rsid w:val="001F341F"/>
    <w:rsid w:val="001F3911"/>
    <w:rsid w:val="001F3F1A"/>
    <w:rsid w:val="001F4658"/>
    <w:rsid w:val="001F4CBD"/>
    <w:rsid w:val="001F5545"/>
    <w:rsid w:val="001F5777"/>
    <w:rsid w:val="001F5937"/>
    <w:rsid w:val="001F59E3"/>
    <w:rsid w:val="001F59ED"/>
    <w:rsid w:val="001F5A20"/>
    <w:rsid w:val="001F6A7F"/>
    <w:rsid w:val="001F70E2"/>
    <w:rsid w:val="001F7121"/>
    <w:rsid w:val="00200D2C"/>
    <w:rsid w:val="002019D8"/>
    <w:rsid w:val="00201EC7"/>
    <w:rsid w:val="00202056"/>
    <w:rsid w:val="00203227"/>
    <w:rsid w:val="0020349A"/>
    <w:rsid w:val="002034B4"/>
    <w:rsid w:val="00203621"/>
    <w:rsid w:val="002038BC"/>
    <w:rsid w:val="00204032"/>
    <w:rsid w:val="0020423B"/>
    <w:rsid w:val="002048A7"/>
    <w:rsid w:val="00204AFF"/>
    <w:rsid w:val="00204BAD"/>
    <w:rsid w:val="00204D60"/>
    <w:rsid w:val="0020526A"/>
    <w:rsid w:val="002052E4"/>
    <w:rsid w:val="00205415"/>
    <w:rsid w:val="00205627"/>
    <w:rsid w:val="002056D0"/>
    <w:rsid w:val="002066CC"/>
    <w:rsid w:val="00206B2C"/>
    <w:rsid w:val="00210691"/>
    <w:rsid w:val="00210696"/>
    <w:rsid w:val="00210860"/>
    <w:rsid w:val="0021089E"/>
    <w:rsid w:val="00210B6A"/>
    <w:rsid w:val="00210BAB"/>
    <w:rsid w:val="00211FE3"/>
    <w:rsid w:val="0021270D"/>
    <w:rsid w:val="00212CB6"/>
    <w:rsid w:val="00212E37"/>
    <w:rsid w:val="0021380B"/>
    <w:rsid w:val="002140FF"/>
    <w:rsid w:val="00214E88"/>
    <w:rsid w:val="002168AD"/>
    <w:rsid w:val="00216FD7"/>
    <w:rsid w:val="002206E0"/>
    <w:rsid w:val="00220894"/>
    <w:rsid w:val="00221AD0"/>
    <w:rsid w:val="00223792"/>
    <w:rsid w:val="00224952"/>
    <w:rsid w:val="00224DD2"/>
    <w:rsid w:val="00225468"/>
    <w:rsid w:val="00225A6A"/>
    <w:rsid w:val="00225AC7"/>
    <w:rsid w:val="00225ACC"/>
    <w:rsid w:val="00226637"/>
    <w:rsid w:val="00226BC8"/>
    <w:rsid w:val="0022756D"/>
    <w:rsid w:val="00227800"/>
    <w:rsid w:val="00231C25"/>
    <w:rsid w:val="00231C6F"/>
    <w:rsid w:val="00232058"/>
    <w:rsid w:val="00232A90"/>
    <w:rsid w:val="00232AD9"/>
    <w:rsid w:val="00233297"/>
    <w:rsid w:val="00233A3E"/>
    <w:rsid w:val="00234151"/>
    <w:rsid w:val="00234513"/>
    <w:rsid w:val="00234F8C"/>
    <w:rsid w:val="00235542"/>
    <w:rsid w:val="002356D7"/>
    <w:rsid w:val="00235EA5"/>
    <w:rsid w:val="002369B0"/>
    <w:rsid w:val="00236AD8"/>
    <w:rsid w:val="0023775D"/>
    <w:rsid w:val="00237C82"/>
    <w:rsid w:val="002401F5"/>
    <w:rsid w:val="00240A1E"/>
    <w:rsid w:val="00240E54"/>
    <w:rsid w:val="00241A47"/>
    <w:rsid w:val="00241C20"/>
    <w:rsid w:val="002423CE"/>
    <w:rsid w:val="00242C26"/>
    <w:rsid w:val="00244A02"/>
    <w:rsid w:val="002451C5"/>
    <w:rsid w:val="00245F1F"/>
    <w:rsid w:val="002465F4"/>
    <w:rsid w:val="0024663B"/>
    <w:rsid w:val="00246EA0"/>
    <w:rsid w:val="00247103"/>
    <w:rsid w:val="002478C3"/>
    <w:rsid w:val="00250067"/>
    <w:rsid w:val="002501A9"/>
    <w:rsid w:val="002507D4"/>
    <w:rsid w:val="0025132A"/>
    <w:rsid w:val="002516DE"/>
    <w:rsid w:val="00251F81"/>
    <w:rsid w:val="00252BE0"/>
    <w:rsid w:val="002531AD"/>
    <w:rsid w:val="00253588"/>
    <w:rsid w:val="002544D4"/>
    <w:rsid w:val="002546F4"/>
    <w:rsid w:val="002551D0"/>
    <w:rsid w:val="00255374"/>
    <w:rsid w:val="00255D09"/>
    <w:rsid w:val="00256F03"/>
    <w:rsid w:val="00257BF4"/>
    <w:rsid w:val="00260003"/>
    <w:rsid w:val="0026035D"/>
    <w:rsid w:val="002606D6"/>
    <w:rsid w:val="002611ED"/>
    <w:rsid w:val="0026173F"/>
    <w:rsid w:val="00261C98"/>
    <w:rsid w:val="0026248E"/>
    <w:rsid w:val="00262914"/>
    <w:rsid w:val="002647BF"/>
    <w:rsid w:val="002647D5"/>
    <w:rsid w:val="002649D0"/>
    <w:rsid w:val="00265032"/>
    <w:rsid w:val="002651FB"/>
    <w:rsid w:val="00265301"/>
    <w:rsid w:val="0026538C"/>
    <w:rsid w:val="00265781"/>
    <w:rsid w:val="00265A9F"/>
    <w:rsid w:val="00265C5E"/>
    <w:rsid w:val="00265DC4"/>
    <w:rsid w:val="00265FC5"/>
    <w:rsid w:val="002662FE"/>
    <w:rsid w:val="0026694A"/>
    <w:rsid w:val="00266B13"/>
    <w:rsid w:val="00267B97"/>
    <w:rsid w:val="002704C9"/>
    <w:rsid w:val="00270728"/>
    <w:rsid w:val="00270D42"/>
    <w:rsid w:val="0027104C"/>
    <w:rsid w:val="0027195D"/>
    <w:rsid w:val="0027257C"/>
    <w:rsid w:val="002726B0"/>
    <w:rsid w:val="00272A05"/>
    <w:rsid w:val="00272B03"/>
    <w:rsid w:val="002733E2"/>
    <w:rsid w:val="002750B1"/>
    <w:rsid w:val="00275AE9"/>
    <w:rsid w:val="002768ED"/>
    <w:rsid w:val="00276A35"/>
    <w:rsid w:val="00277835"/>
    <w:rsid w:val="00280AB1"/>
    <w:rsid w:val="00280D7D"/>
    <w:rsid w:val="002836D7"/>
    <w:rsid w:val="00284BAE"/>
    <w:rsid w:val="002859AF"/>
    <w:rsid w:val="00285FA2"/>
    <w:rsid w:val="0028608C"/>
    <w:rsid w:val="002862E3"/>
    <w:rsid w:val="00286AE7"/>
    <w:rsid w:val="00287243"/>
    <w:rsid w:val="00287D79"/>
    <w:rsid w:val="002903AD"/>
    <w:rsid w:val="00290647"/>
    <w:rsid w:val="00290FF3"/>
    <w:rsid w:val="00291385"/>
    <w:rsid w:val="00291422"/>
    <w:rsid w:val="0029237F"/>
    <w:rsid w:val="00292715"/>
    <w:rsid w:val="0029329F"/>
    <w:rsid w:val="0029334E"/>
    <w:rsid w:val="00293446"/>
    <w:rsid w:val="00293B0A"/>
    <w:rsid w:val="00293E57"/>
    <w:rsid w:val="0029469B"/>
    <w:rsid w:val="002947D1"/>
    <w:rsid w:val="00294814"/>
    <w:rsid w:val="002948DF"/>
    <w:rsid w:val="00294D90"/>
    <w:rsid w:val="00294F91"/>
    <w:rsid w:val="00295E7E"/>
    <w:rsid w:val="00296125"/>
    <w:rsid w:val="002966B8"/>
    <w:rsid w:val="002974E4"/>
    <w:rsid w:val="002A0B75"/>
    <w:rsid w:val="002A10A6"/>
    <w:rsid w:val="002A1234"/>
    <w:rsid w:val="002A1E92"/>
    <w:rsid w:val="002A204D"/>
    <w:rsid w:val="002A2616"/>
    <w:rsid w:val="002A26E1"/>
    <w:rsid w:val="002A275F"/>
    <w:rsid w:val="002A368A"/>
    <w:rsid w:val="002A4065"/>
    <w:rsid w:val="002A471F"/>
    <w:rsid w:val="002A4FD8"/>
    <w:rsid w:val="002A59F0"/>
    <w:rsid w:val="002A5E54"/>
    <w:rsid w:val="002A62CB"/>
    <w:rsid w:val="002A63BF"/>
    <w:rsid w:val="002A6432"/>
    <w:rsid w:val="002A6F25"/>
    <w:rsid w:val="002A6FD3"/>
    <w:rsid w:val="002A7FA5"/>
    <w:rsid w:val="002B0A7D"/>
    <w:rsid w:val="002B11F9"/>
    <w:rsid w:val="002B1320"/>
    <w:rsid w:val="002B190A"/>
    <w:rsid w:val="002B1A69"/>
    <w:rsid w:val="002B1CC1"/>
    <w:rsid w:val="002B2723"/>
    <w:rsid w:val="002B2AC2"/>
    <w:rsid w:val="002B2C50"/>
    <w:rsid w:val="002B303A"/>
    <w:rsid w:val="002B44E7"/>
    <w:rsid w:val="002B538E"/>
    <w:rsid w:val="002B5B2E"/>
    <w:rsid w:val="002B5DCA"/>
    <w:rsid w:val="002B6005"/>
    <w:rsid w:val="002B6BDC"/>
    <w:rsid w:val="002B6CCC"/>
    <w:rsid w:val="002B75B0"/>
    <w:rsid w:val="002B7EAF"/>
    <w:rsid w:val="002C099C"/>
    <w:rsid w:val="002C0B74"/>
    <w:rsid w:val="002C0C8B"/>
    <w:rsid w:val="002C0CBB"/>
    <w:rsid w:val="002C1201"/>
    <w:rsid w:val="002C1460"/>
    <w:rsid w:val="002C15DC"/>
    <w:rsid w:val="002C20F2"/>
    <w:rsid w:val="002C35E0"/>
    <w:rsid w:val="002C38B2"/>
    <w:rsid w:val="002C3C28"/>
    <w:rsid w:val="002C3F9C"/>
    <w:rsid w:val="002C535F"/>
    <w:rsid w:val="002C568E"/>
    <w:rsid w:val="002C5930"/>
    <w:rsid w:val="002C5AFA"/>
    <w:rsid w:val="002C5B4E"/>
    <w:rsid w:val="002C70BA"/>
    <w:rsid w:val="002C793C"/>
    <w:rsid w:val="002C7C79"/>
    <w:rsid w:val="002D0439"/>
    <w:rsid w:val="002D0670"/>
    <w:rsid w:val="002D0766"/>
    <w:rsid w:val="002D11B7"/>
    <w:rsid w:val="002D3BBC"/>
    <w:rsid w:val="002D438A"/>
    <w:rsid w:val="002D5738"/>
    <w:rsid w:val="002D5E53"/>
    <w:rsid w:val="002D66D7"/>
    <w:rsid w:val="002D770A"/>
    <w:rsid w:val="002D7D83"/>
    <w:rsid w:val="002E0319"/>
    <w:rsid w:val="002E1691"/>
    <w:rsid w:val="002E179B"/>
    <w:rsid w:val="002E1C9E"/>
    <w:rsid w:val="002E257B"/>
    <w:rsid w:val="002E3C65"/>
    <w:rsid w:val="002E3F5B"/>
    <w:rsid w:val="002E426C"/>
    <w:rsid w:val="002E4362"/>
    <w:rsid w:val="002E5A80"/>
    <w:rsid w:val="002E626B"/>
    <w:rsid w:val="002E63D9"/>
    <w:rsid w:val="002E640E"/>
    <w:rsid w:val="002F07E7"/>
    <w:rsid w:val="002F07F2"/>
    <w:rsid w:val="002F0C28"/>
    <w:rsid w:val="002F0E75"/>
    <w:rsid w:val="002F11E9"/>
    <w:rsid w:val="002F1390"/>
    <w:rsid w:val="002F1A2F"/>
    <w:rsid w:val="002F30E5"/>
    <w:rsid w:val="002F35C3"/>
    <w:rsid w:val="002F3CDE"/>
    <w:rsid w:val="002F423C"/>
    <w:rsid w:val="002F46C6"/>
    <w:rsid w:val="002F5DD6"/>
    <w:rsid w:val="002F5FEA"/>
    <w:rsid w:val="002F6138"/>
    <w:rsid w:val="002F63E7"/>
    <w:rsid w:val="002F71D0"/>
    <w:rsid w:val="002F7BE3"/>
    <w:rsid w:val="002F7E6A"/>
    <w:rsid w:val="00300165"/>
    <w:rsid w:val="003009C2"/>
    <w:rsid w:val="00300FD7"/>
    <w:rsid w:val="003010CF"/>
    <w:rsid w:val="00303038"/>
    <w:rsid w:val="00303440"/>
    <w:rsid w:val="00304D9B"/>
    <w:rsid w:val="003052E3"/>
    <w:rsid w:val="003058FC"/>
    <w:rsid w:val="00305EAF"/>
    <w:rsid w:val="00305FF9"/>
    <w:rsid w:val="003066E4"/>
    <w:rsid w:val="00306B15"/>
    <w:rsid w:val="00306DB6"/>
    <w:rsid w:val="00306E6B"/>
    <w:rsid w:val="00307BE8"/>
    <w:rsid w:val="003100C8"/>
    <w:rsid w:val="00310188"/>
    <w:rsid w:val="00310426"/>
    <w:rsid w:val="00310467"/>
    <w:rsid w:val="00310581"/>
    <w:rsid w:val="00311161"/>
    <w:rsid w:val="00312220"/>
    <w:rsid w:val="00312400"/>
    <w:rsid w:val="00312739"/>
    <w:rsid w:val="00312D10"/>
    <w:rsid w:val="00313D21"/>
    <w:rsid w:val="00313DDF"/>
    <w:rsid w:val="00313F61"/>
    <w:rsid w:val="00315EBF"/>
    <w:rsid w:val="00315FAB"/>
    <w:rsid w:val="00316272"/>
    <w:rsid w:val="003164E4"/>
    <w:rsid w:val="003169DC"/>
    <w:rsid w:val="003178DA"/>
    <w:rsid w:val="00317DB8"/>
    <w:rsid w:val="00320618"/>
    <w:rsid w:val="00320F71"/>
    <w:rsid w:val="0032100B"/>
    <w:rsid w:val="00321BD7"/>
    <w:rsid w:val="0032260F"/>
    <w:rsid w:val="00322613"/>
    <w:rsid w:val="003228DA"/>
    <w:rsid w:val="00323437"/>
    <w:rsid w:val="00323486"/>
    <w:rsid w:val="00323D6B"/>
    <w:rsid w:val="00324250"/>
    <w:rsid w:val="00326957"/>
    <w:rsid w:val="00326AE2"/>
    <w:rsid w:val="00331426"/>
    <w:rsid w:val="0033171D"/>
    <w:rsid w:val="0033197D"/>
    <w:rsid w:val="00331FC3"/>
    <w:rsid w:val="00332303"/>
    <w:rsid w:val="00332E75"/>
    <w:rsid w:val="003336B3"/>
    <w:rsid w:val="00334245"/>
    <w:rsid w:val="00335B75"/>
    <w:rsid w:val="00335D8C"/>
    <w:rsid w:val="00336072"/>
    <w:rsid w:val="003363A1"/>
    <w:rsid w:val="003365B1"/>
    <w:rsid w:val="003365B7"/>
    <w:rsid w:val="00336AA6"/>
    <w:rsid w:val="00337704"/>
    <w:rsid w:val="0034052D"/>
    <w:rsid w:val="003406F0"/>
    <w:rsid w:val="0034149C"/>
    <w:rsid w:val="0034161D"/>
    <w:rsid w:val="00341ECE"/>
    <w:rsid w:val="0034226D"/>
    <w:rsid w:val="00342972"/>
    <w:rsid w:val="00342F49"/>
    <w:rsid w:val="00342FDD"/>
    <w:rsid w:val="0034429B"/>
    <w:rsid w:val="00344866"/>
    <w:rsid w:val="003457C0"/>
    <w:rsid w:val="00345B16"/>
    <w:rsid w:val="00345EA5"/>
    <w:rsid w:val="0034638C"/>
    <w:rsid w:val="00346F7F"/>
    <w:rsid w:val="003477F0"/>
    <w:rsid w:val="00347ED3"/>
    <w:rsid w:val="00350108"/>
    <w:rsid w:val="00350762"/>
    <w:rsid w:val="003507C4"/>
    <w:rsid w:val="00350D94"/>
    <w:rsid w:val="003519A1"/>
    <w:rsid w:val="00352043"/>
    <w:rsid w:val="003523A5"/>
    <w:rsid w:val="00352480"/>
    <w:rsid w:val="003528DB"/>
    <w:rsid w:val="00352A6E"/>
    <w:rsid w:val="003530B9"/>
    <w:rsid w:val="003530D2"/>
    <w:rsid w:val="0035331A"/>
    <w:rsid w:val="0035343D"/>
    <w:rsid w:val="003534E1"/>
    <w:rsid w:val="00354878"/>
    <w:rsid w:val="003548D8"/>
    <w:rsid w:val="003554CA"/>
    <w:rsid w:val="003557A4"/>
    <w:rsid w:val="003561A1"/>
    <w:rsid w:val="00357792"/>
    <w:rsid w:val="00360232"/>
    <w:rsid w:val="003602E0"/>
    <w:rsid w:val="00360750"/>
    <w:rsid w:val="00360D01"/>
    <w:rsid w:val="00360F3F"/>
    <w:rsid w:val="00362415"/>
    <w:rsid w:val="00362569"/>
    <w:rsid w:val="003631D2"/>
    <w:rsid w:val="003633F1"/>
    <w:rsid w:val="00363642"/>
    <w:rsid w:val="003636CD"/>
    <w:rsid w:val="003637A2"/>
    <w:rsid w:val="0036487C"/>
    <w:rsid w:val="00365411"/>
    <w:rsid w:val="00365505"/>
    <w:rsid w:val="00365A4A"/>
    <w:rsid w:val="00365FA2"/>
    <w:rsid w:val="00366212"/>
    <w:rsid w:val="00366878"/>
    <w:rsid w:val="00366C69"/>
    <w:rsid w:val="003672DE"/>
    <w:rsid w:val="00367441"/>
    <w:rsid w:val="003679CC"/>
    <w:rsid w:val="00367B1D"/>
    <w:rsid w:val="00367D98"/>
    <w:rsid w:val="003709AE"/>
    <w:rsid w:val="00370E4F"/>
    <w:rsid w:val="00371215"/>
    <w:rsid w:val="00371A4F"/>
    <w:rsid w:val="0037205C"/>
    <w:rsid w:val="00372C68"/>
    <w:rsid w:val="00372F0D"/>
    <w:rsid w:val="0037366F"/>
    <w:rsid w:val="0037397A"/>
    <w:rsid w:val="00373F18"/>
    <w:rsid w:val="00374059"/>
    <w:rsid w:val="0037535B"/>
    <w:rsid w:val="0037552D"/>
    <w:rsid w:val="003756DB"/>
    <w:rsid w:val="00375722"/>
    <w:rsid w:val="00376811"/>
    <w:rsid w:val="00376D7F"/>
    <w:rsid w:val="003770BB"/>
    <w:rsid w:val="0037739C"/>
    <w:rsid w:val="003773CF"/>
    <w:rsid w:val="0037771A"/>
    <w:rsid w:val="00377DFA"/>
    <w:rsid w:val="003802DC"/>
    <w:rsid w:val="003806B9"/>
    <w:rsid w:val="00380BB9"/>
    <w:rsid w:val="00380E4E"/>
    <w:rsid w:val="00380FBF"/>
    <w:rsid w:val="003819B0"/>
    <w:rsid w:val="00382A43"/>
    <w:rsid w:val="00382D60"/>
    <w:rsid w:val="00382DD5"/>
    <w:rsid w:val="00382EA6"/>
    <w:rsid w:val="00382F29"/>
    <w:rsid w:val="003830A9"/>
    <w:rsid w:val="003830AC"/>
    <w:rsid w:val="0038310A"/>
    <w:rsid w:val="00383C8D"/>
    <w:rsid w:val="003852FB"/>
    <w:rsid w:val="00385429"/>
    <w:rsid w:val="00385B05"/>
    <w:rsid w:val="00386382"/>
    <w:rsid w:val="003865EF"/>
    <w:rsid w:val="00386BA9"/>
    <w:rsid w:val="003878F9"/>
    <w:rsid w:val="00390017"/>
    <w:rsid w:val="003901A3"/>
    <w:rsid w:val="0039072F"/>
    <w:rsid w:val="00390D88"/>
    <w:rsid w:val="00392A0A"/>
    <w:rsid w:val="00393448"/>
    <w:rsid w:val="0039366B"/>
    <w:rsid w:val="003940CE"/>
    <w:rsid w:val="003942F3"/>
    <w:rsid w:val="003957FD"/>
    <w:rsid w:val="00395F62"/>
    <w:rsid w:val="003970A2"/>
    <w:rsid w:val="00397C1D"/>
    <w:rsid w:val="003A180F"/>
    <w:rsid w:val="003A18DD"/>
    <w:rsid w:val="003A20C8"/>
    <w:rsid w:val="003A2C29"/>
    <w:rsid w:val="003A2EC3"/>
    <w:rsid w:val="003A36F2"/>
    <w:rsid w:val="003A3B6B"/>
    <w:rsid w:val="003A3BF0"/>
    <w:rsid w:val="003A3D39"/>
    <w:rsid w:val="003A3EC7"/>
    <w:rsid w:val="003A40B4"/>
    <w:rsid w:val="003A4F4D"/>
    <w:rsid w:val="003A64C0"/>
    <w:rsid w:val="003A7607"/>
    <w:rsid w:val="003A7834"/>
    <w:rsid w:val="003B0B5B"/>
    <w:rsid w:val="003B0E79"/>
    <w:rsid w:val="003B12B8"/>
    <w:rsid w:val="003B18F4"/>
    <w:rsid w:val="003B19A2"/>
    <w:rsid w:val="003B1BE1"/>
    <w:rsid w:val="003B1D43"/>
    <w:rsid w:val="003B1DF2"/>
    <w:rsid w:val="003B1F92"/>
    <w:rsid w:val="003B2CCB"/>
    <w:rsid w:val="003B3575"/>
    <w:rsid w:val="003B4647"/>
    <w:rsid w:val="003B49BB"/>
    <w:rsid w:val="003B4CF0"/>
    <w:rsid w:val="003B50BC"/>
    <w:rsid w:val="003B54F7"/>
    <w:rsid w:val="003B5592"/>
    <w:rsid w:val="003B575C"/>
    <w:rsid w:val="003B5A41"/>
    <w:rsid w:val="003B5D97"/>
    <w:rsid w:val="003B5FD1"/>
    <w:rsid w:val="003B63A4"/>
    <w:rsid w:val="003B68FE"/>
    <w:rsid w:val="003B6D7D"/>
    <w:rsid w:val="003B7D7E"/>
    <w:rsid w:val="003C0276"/>
    <w:rsid w:val="003C05BA"/>
    <w:rsid w:val="003C0611"/>
    <w:rsid w:val="003C1012"/>
    <w:rsid w:val="003C11C9"/>
    <w:rsid w:val="003C1229"/>
    <w:rsid w:val="003C1FD4"/>
    <w:rsid w:val="003C213D"/>
    <w:rsid w:val="003C2400"/>
    <w:rsid w:val="003C25AD"/>
    <w:rsid w:val="003C299C"/>
    <w:rsid w:val="003C2B75"/>
    <w:rsid w:val="003C2D21"/>
    <w:rsid w:val="003C2F15"/>
    <w:rsid w:val="003C3301"/>
    <w:rsid w:val="003C4510"/>
    <w:rsid w:val="003C45F2"/>
    <w:rsid w:val="003C48B8"/>
    <w:rsid w:val="003C4B55"/>
    <w:rsid w:val="003C5A5F"/>
    <w:rsid w:val="003C5E6B"/>
    <w:rsid w:val="003C631A"/>
    <w:rsid w:val="003C7AD7"/>
    <w:rsid w:val="003C7BC2"/>
    <w:rsid w:val="003D0A97"/>
    <w:rsid w:val="003D0FC3"/>
    <w:rsid w:val="003D27E3"/>
    <w:rsid w:val="003D2C1D"/>
    <w:rsid w:val="003D2C34"/>
    <w:rsid w:val="003D3DDD"/>
    <w:rsid w:val="003D41FF"/>
    <w:rsid w:val="003D427A"/>
    <w:rsid w:val="003D4547"/>
    <w:rsid w:val="003D555F"/>
    <w:rsid w:val="003D5CBF"/>
    <w:rsid w:val="003D66D2"/>
    <w:rsid w:val="003D777E"/>
    <w:rsid w:val="003E012A"/>
    <w:rsid w:val="003E07AE"/>
    <w:rsid w:val="003E089C"/>
    <w:rsid w:val="003E0AE6"/>
    <w:rsid w:val="003E10E2"/>
    <w:rsid w:val="003E14FC"/>
    <w:rsid w:val="003E27B7"/>
    <w:rsid w:val="003E2976"/>
    <w:rsid w:val="003E347E"/>
    <w:rsid w:val="003E40FD"/>
    <w:rsid w:val="003E4858"/>
    <w:rsid w:val="003E4917"/>
    <w:rsid w:val="003E4A6B"/>
    <w:rsid w:val="003E5E0D"/>
    <w:rsid w:val="003E60F1"/>
    <w:rsid w:val="003E6316"/>
    <w:rsid w:val="003E6884"/>
    <w:rsid w:val="003E6AC5"/>
    <w:rsid w:val="003E7D7B"/>
    <w:rsid w:val="003F0096"/>
    <w:rsid w:val="003F0850"/>
    <w:rsid w:val="003F0D12"/>
    <w:rsid w:val="003F0D31"/>
    <w:rsid w:val="003F1534"/>
    <w:rsid w:val="003F160C"/>
    <w:rsid w:val="003F1E79"/>
    <w:rsid w:val="003F324F"/>
    <w:rsid w:val="003F33BC"/>
    <w:rsid w:val="003F3498"/>
    <w:rsid w:val="003F3D4E"/>
    <w:rsid w:val="003F477E"/>
    <w:rsid w:val="003F4AB0"/>
    <w:rsid w:val="003F52BA"/>
    <w:rsid w:val="003F5891"/>
    <w:rsid w:val="003F5A92"/>
    <w:rsid w:val="003F66C4"/>
    <w:rsid w:val="003F6CD2"/>
    <w:rsid w:val="003F788D"/>
    <w:rsid w:val="0040083F"/>
    <w:rsid w:val="0040126E"/>
    <w:rsid w:val="00401A8C"/>
    <w:rsid w:val="004020D4"/>
    <w:rsid w:val="004021B6"/>
    <w:rsid w:val="004036FC"/>
    <w:rsid w:val="00403E5E"/>
    <w:rsid w:val="00403EA4"/>
    <w:rsid w:val="004047BE"/>
    <w:rsid w:val="004047C4"/>
    <w:rsid w:val="0040570B"/>
    <w:rsid w:val="00405AC1"/>
    <w:rsid w:val="00405EDB"/>
    <w:rsid w:val="00405FB1"/>
    <w:rsid w:val="00406460"/>
    <w:rsid w:val="00406992"/>
    <w:rsid w:val="00407E4F"/>
    <w:rsid w:val="00410B42"/>
    <w:rsid w:val="00411F7C"/>
    <w:rsid w:val="00412039"/>
    <w:rsid w:val="00412461"/>
    <w:rsid w:val="00412546"/>
    <w:rsid w:val="00413053"/>
    <w:rsid w:val="0041319C"/>
    <w:rsid w:val="004137B6"/>
    <w:rsid w:val="00413A54"/>
    <w:rsid w:val="00413C10"/>
    <w:rsid w:val="00413CD9"/>
    <w:rsid w:val="00413F9A"/>
    <w:rsid w:val="004140CA"/>
    <w:rsid w:val="004142B4"/>
    <w:rsid w:val="00414C65"/>
    <w:rsid w:val="00415A30"/>
    <w:rsid w:val="00415D76"/>
    <w:rsid w:val="00416665"/>
    <w:rsid w:val="00416A67"/>
    <w:rsid w:val="00416ACB"/>
    <w:rsid w:val="00416F75"/>
    <w:rsid w:val="00417296"/>
    <w:rsid w:val="0041737A"/>
    <w:rsid w:val="004202DF"/>
    <w:rsid w:val="00421752"/>
    <w:rsid w:val="00421C25"/>
    <w:rsid w:val="00421DCF"/>
    <w:rsid w:val="004221FB"/>
    <w:rsid w:val="00422341"/>
    <w:rsid w:val="00423641"/>
    <w:rsid w:val="004238EB"/>
    <w:rsid w:val="004239F8"/>
    <w:rsid w:val="00426266"/>
    <w:rsid w:val="00426A84"/>
    <w:rsid w:val="00430A2D"/>
    <w:rsid w:val="00430B53"/>
    <w:rsid w:val="00431505"/>
    <w:rsid w:val="0043185D"/>
    <w:rsid w:val="00431AF0"/>
    <w:rsid w:val="00431B15"/>
    <w:rsid w:val="0043213A"/>
    <w:rsid w:val="0043215C"/>
    <w:rsid w:val="00432A2C"/>
    <w:rsid w:val="004330F4"/>
    <w:rsid w:val="00433590"/>
    <w:rsid w:val="004336E0"/>
    <w:rsid w:val="00433753"/>
    <w:rsid w:val="004338EA"/>
    <w:rsid w:val="0043393D"/>
    <w:rsid w:val="004344C7"/>
    <w:rsid w:val="00434E85"/>
    <w:rsid w:val="00434F83"/>
    <w:rsid w:val="00435274"/>
    <w:rsid w:val="004352AD"/>
    <w:rsid w:val="0043545D"/>
    <w:rsid w:val="00435906"/>
    <w:rsid w:val="00435FE2"/>
    <w:rsid w:val="00436E2F"/>
    <w:rsid w:val="00436EAB"/>
    <w:rsid w:val="00436EFD"/>
    <w:rsid w:val="00436F22"/>
    <w:rsid w:val="00437AC9"/>
    <w:rsid w:val="00440F07"/>
    <w:rsid w:val="0044115F"/>
    <w:rsid w:val="0044219B"/>
    <w:rsid w:val="00442D28"/>
    <w:rsid w:val="00442E35"/>
    <w:rsid w:val="00443E74"/>
    <w:rsid w:val="0044432A"/>
    <w:rsid w:val="00444811"/>
    <w:rsid w:val="0044498B"/>
    <w:rsid w:val="00444A93"/>
    <w:rsid w:val="00445452"/>
    <w:rsid w:val="004460E9"/>
    <w:rsid w:val="004461D9"/>
    <w:rsid w:val="004467F1"/>
    <w:rsid w:val="00446AC6"/>
    <w:rsid w:val="00447416"/>
    <w:rsid w:val="0044759B"/>
    <w:rsid w:val="00447F54"/>
    <w:rsid w:val="00450B7E"/>
    <w:rsid w:val="00450E77"/>
    <w:rsid w:val="0045136B"/>
    <w:rsid w:val="00451C7E"/>
    <w:rsid w:val="004535D3"/>
    <w:rsid w:val="00453BB6"/>
    <w:rsid w:val="00453C7C"/>
    <w:rsid w:val="00453CAA"/>
    <w:rsid w:val="00454058"/>
    <w:rsid w:val="00454C1A"/>
    <w:rsid w:val="00455113"/>
    <w:rsid w:val="00455547"/>
    <w:rsid w:val="00455DB1"/>
    <w:rsid w:val="00455E16"/>
    <w:rsid w:val="00456421"/>
    <w:rsid w:val="00456DAB"/>
    <w:rsid w:val="004572C3"/>
    <w:rsid w:val="00460B42"/>
    <w:rsid w:val="00460CC3"/>
    <w:rsid w:val="00460E86"/>
    <w:rsid w:val="00460ED5"/>
    <w:rsid w:val="004611EA"/>
    <w:rsid w:val="00461909"/>
    <w:rsid w:val="00462173"/>
    <w:rsid w:val="00463FF6"/>
    <w:rsid w:val="004646B4"/>
    <w:rsid w:val="00464A88"/>
    <w:rsid w:val="00464E06"/>
    <w:rsid w:val="004650F1"/>
    <w:rsid w:val="004651A0"/>
    <w:rsid w:val="00466532"/>
    <w:rsid w:val="00466C53"/>
    <w:rsid w:val="00467488"/>
    <w:rsid w:val="00467A55"/>
    <w:rsid w:val="0047083E"/>
    <w:rsid w:val="00470EB5"/>
    <w:rsid w:val="0047286B"/>
    <w:rsid w:val="00472E27"/>
    <w:rsid w:val="00473941"/>
    <w:rsid w:val="00474220"/>
    <w:rsid w:val="004752D3"/>
    <w:rsid w:val="004754E1"/>
    <w:rsid w:val="00475CE0"/>
    <w:rsid w:val="00476827"/>
    <w:rsid w:val="00476BD4"/>
    <w:rsid w:val="00477C35"/>
    <w:rsid w:val="00480033"/>
    <w:rsid w:val="00480053"/>
    <w:rsid w:val="004802AE"/>
    <w:rsid w:val="00480988"/>
    <w:rsid w:val="00480E05"/>
    <w:rsid w:val="00481F80"/>
    <w:rsid w:val="0048270A"/>
    <w:rsid w:val="00482B13"/>
    <w:rsid w:val="00482BBE"/>
    <w:rsid w:val="00483A12"/>
    <w:rsid w:val="00483EF7"/>
    <w:rsid w:val="00484A77"/>
    <w:rsid w:val="00484F77"/>
    <w:rsid w:val="0048540F"/>
    <w:rsid w:val="004857C8"/>
    <w:rsid w:val="00485970"/>
    <w:rsid w:val="00485C0D"/>
    <w:rsid w:val="00486575"/>
    <w:rsid w:val="004866D0"/>
    <w:rsid w:val="00486936"/>
    <w:rsid w:val="004872C5"/>
    <w:rsid w:val="004873B3"/>
    <w:rsid w:val="00487658"/>
    <w:rsid w:val="00487CBE"/>
    <w:rsid w:val="00491224"/>
    <w:rsid w:val="00491446"/>
    <w:rsid w:val="00491679"/>
    <w:rsid w:val="00491D93"/>
    <w:rsid w:val="00492071"/>
    <w:rsid w:val="00492111"/>
    <w:rsid w:val="00492459"/>
    <w:rsid w:val="0049291B"/>
    <w:rsid w:val="00494242"/>
    <w:rsid w:val="004943A4"/>
    <w:rsid w:val="00494E8E"/>
    <w:rsid w:val="004953F5"/>
    <w:rsid w:val="004954CC"/>
    <w:rsid w:val="004955BC"/>
    <w:rsid w:val="004958BB"/>
    <w:rsid w:val="00495D63"/>
    <w:rsid w:val="00495FBE"/>
    <w:rsid w:val="0049616C"/>
    <w:rsid w:val="0049648F"/>
    <w:rsid w:val="00496606"/>
    <w:rsid w:val="00496915"/>
    <w:rsid w:val="00496E6D"/>
    <w:rsid w:val="00496F05"/>
    <w:rsid w:val="00497370"/>
    <w:rsid w:val="004973A0"/>
    <w:rsid w:val="00497425"/>
    <w:rsid w:val="004A0F2E"/>
    <w:rsid w:val="004A0F39"/>
    <w:rsid w:val="004A1E49"/>
    <w:rsid w:val="004A251F"/>
    <w:rsid w:val="004A2704"/>
    <w:rsid w:val="004A3BF1"/>
    <w:rsid w:val="004A3E42"/>
    <w:rsid w:val="004A446C"/>
    <w:rsid w:val="004A4715"/>
    <w:rsid w:val="004A5046"/>
    <w:rsid w:val="004A565E"/>
    <w:rsid w:val="004A5DF3"/>
    <w:rsid w:val="004A6134"/>
    <w:rsid w:val="004A62CF"/>
    <w:rsid w:val="004A6CE3"/>
    <w:rsid w:val="004A6E47"/>
    <w:rsid w:val="004A7092"/>
    <w:rsid w:val="004A73C2"/>
    <w:rsid w:val="004A7AEC"/>
    <w:rsid w:val="004B063C"/>
    <w:rsid w:val="004B07A5"/>
    <w:rsid w:val="004B1314"/>
    <w:rsid w:val="004B2153"/>
    <w:rsid w:val="004B244B"/>
    <w:rsid w:val="004B2570"/>
    <w:rsid w:val="004B29CC"/>
    <w:rsid w:val="004B3C24"/>
    <w:rsid w:val="004B3FD1"/>
    <w:rsid w:val="004B4053"/>
    <w:rsid w:val="004B4059"/>
    <w:rsid w:val="004B4707"/>
    <w:rsid w:val="004B4890"/>
    <w:rsid w:val="004B49E6"/>
    <w:rsid w:val="004B4BB3"/>
    <w:rsid w:val="004B4D69"/>
    <w:rsid w:val="004B5066"/>
    <w:rsid w:val="004B7744"/>
    <w:rsid w:val="004B7C32"/>
    <w:rsid w:val="004C0081"/>
    <w:rsid w:val="004C0189"/>
    <w:rsid w:val="004C01A8"/>
    <w:rsid w:val="004C1731"/>
    <w:rsid w:val="004C1840"/>
    <w:rsid w:val="004C1B91"/>
    <w:rsid w:val="004C22FA"/>
    <w:rsid w:val="004C24C9"/>
    <w:rsid w:val="004C2DC7"/>
    <w:rsid w:val="004C31B6"/>
    <w:rsid w:val="004C4ED9"/>
    <w:rsid w:val="004C5319"/>
    <w:rsid w:val="004C621F"/>
    <w:rsid w:val="004C6358"/>
    <w:rsid w:val="004C6B3A"/>
    <w:rsid w:val="004C77C6"/>
    <w:rsid w:val="004C7948"/>
    <w:rsid w:val="004C7BB8"/>
    <w:rsid w:val="004C7C60"/>
    <w:rsid w:val="004D0DFE"/>
    <w:rsid w:val="004D15FB"/>
    <w:rsid w:val="004D1D91"/>
    <w:rsid w:val="004D22C3"/>
    <w:rsid w:val="004D245F"/>
    <w:rsid w:val="004D257F"/>
    <w:rsid w:val="004D310C"/>
    <w:rsid w:val="004D363D"/>
    <w:rsid w:val="004D40CE"/>
    <w:rsid w:val="004D47B1"/>
    <w:rsid w:val="004D55E1"/>
    <w:rsid w:val="004D57A7"/>
    <w:rsid w:val="004D5DF1"/>
    <w:rsid w:val="004D6A3E"/>
    <w:rsid w:val="004D6F4D"/>
    <w:rsid w:val="004D6F95"/>
    <w:rsid w:val="004D72FE"/>
    <w:rsid w:val="004D733C"/>
    <w:rsid w:val="004D7E91"/>
    <w:rsid w:val="004D7F94"/>
    <w:rsid w:val="004E003A"/>
    <w:rsid w:val="004E00E5"/>
    <w:rsid w:val="004E0768"/>
    <w:rsid w:val="004E1099"/>
    <w:rsid w:val="004E185B"/>
    <w:rsid w:val="004E1A31"/>
    <w:rsid w:val="004E2024"/>
    <w:rsid w:val="004E23AD"/>
    <w:rsid w:val="004E2DE0"/>
    <w:rsid w:val="004E36D6"/>
    <w:rsid w:val="004E3C80"/>
    <w:rsid w:val="004E4060"/>
    <w:rsid w:val="004E409A"/>
    <w:rsid w:val="004E6EB8"/>
    <w:rsid w:val="004E6F3F"/>
    <w:rsid w:val="004E792A"/>
    <w:rsid w:val="004F0FB9"/>
    <w:rsid w:val="004F10F5"/>
    <w:rsid w:val="004F1EA3"/>
    <w:rsid w:val="004F2C32"/>
    <w:rsid w:val="004F2F7E"/>
    <w:rsid w:val="004F309B"/>
    <w:rsid w:val="004F32B5"/>
    <w:rsid w:val="004F407E"/>
    <w:rsid w:val="004F4C87"/>
    <w:rsid w:val="004F5479"/>
    <w:rsid w:val="004F64EB"/>
    <w:rsid w:val="004F679F"/>
    <w:rsid w:val="004F726B"/>
    <w:rsid w:val="004F7528"/>
    <w:rsid w:val="004F7B71"/>
    <w:rsid w:val="004F7BCA"/>
    <w:rsid w:val="004F7D89"/>
    <w:rsid w:val="00500E92"/>
    <w:rsid w:val="005014DC"/>
    <w:rsid w:val="00501501"/>
    <w:rsid w:val="00501981"/>
    <w:rsid w:val="00501A85"/>
    <w:rsid w:val="00501BB3"/>
    <w:rsid w:val="005021DD"/>
    <w:rsid w:val="005026CA"/>
    <w:rsid w:val="00502B72"/>
    <w:rsid w:val="00502EBF"/>
    <w:rsid w:val="00503F1E"/>
    <w:rsid w:val="00504926"/>
    <w:rsid w:val="00504BC1"/>
    <w:rsid w:val="00505134"/>
    <w:rsid w:val="00505C04"/>
    <w:rsid w:val="0050612A"/>
    <w:rsid w:val="00510D69"/>
    <w:rsid w:val="00511960"/>
    <w:rsid w:val="00511F15"/>
    <w:rsid w:val="005124EF"/>
    <w:rsid w:val="00512563"/>
    <w:rsid w:val="00512B26"/>
    <w:rsid w:val="0051318C"/>
    <w:rsid w:val="0051359A"/>
    <w:rsid w:val="00513E27"/>
    <w:rsid w:val="005142CD"/>
    <w:rsid w:val="005142D3"/>
    <w:rsid w:val="005143C9"/>
    <w:rsid w:val="005156E5"/>
    <w:rsid w:val="005157A9"/>
    <w:rsid w:val="00516321"/>
    <w:rsid w:val="005173A7"/>
    <w:rsid w:val="005177E1"/>
    <w:rsid w:val="00520B04"/>
    <w:rsid w:val="00520C02"/>
    <w:rsid w:val="00520C0A"/>
    <w:rsid w:val="005215DB"/>
    <w:rsid w:val="005218B6"/>
    <w:rsid w:val="00521B01"/>
    <w:rsid w:val="00521CB7"/>
    <w:rsid w:val="00522589"/>
    <w:rsid w:val="00522D2C"/>
    <w:rsid w:val="00523111"/>
    <w:rsid w:val="00524545"/>
    <w:rsid w:val="0052477A"/>
    <w:rsid w:val="00524887"/>
    <w:rsid w:val="005248A9"/>
    <w:rsid w:val="005255BF"/>
    <w:rsid w:val="005257DE"/>
    <w:rsid w:val="00527200"/>
    <w:rsid w:val="0052726F"/>
    <w:rsid w:val="00530157"/>
    <w:rsid w:val="00530473"/>
    <w:rsid w:val="00531EBE"/>
    <w:rsid w:val="005325B0"/>
    <w:rsid w:val="00532A3A"/>
    <w:rsid w:val="00532F8B"/>
    <w:rsid w:val="005331D4"/>
    <w:rsid w:val="0053347A"/>
    <w:rsid w:val="00533737"/>
    <w:rsid w:val="00534B0B"/>
    <w:rsid w:val="00535197"/>
    <w:rsid w:val="00535597"/>
    <w:rsid w:val="00535B79"/>
    <w:rsid w:val="00535D7C"/>
    <w:rsid w:val="00536579"/>
    <w:rsid w:val="00536C1E"/>
    <w:rsid w:val="00537293"/>
    <w:rsid w:val="00537471"/>
    <w:rsid w:val="00537666"/>
    <w:rsid w:val="005376DA"/>
    <w:rsid w:val="00537813"/>
    <w:rsid w:val="00537BE9"/>
    <w:rsid w:val="00541C06"/>
    <w:rsid w:val="00541D0B"/>
    <w:rsid w:val="0054201F"/>
    <w:rsid w:val="005425AD"/>
    <w:rsid w:val="0054343A"/>
    <w:rsid w:val="00543463"/>
    <w:rsid w:val="00543974"/>
    <w:rsid w:val="00543EBF"/>
    <w:rsid w:val="00543EC4"/>
    <w:rsid w:val="00544ABA"/>
    <w:rsid w:val="00544F32"/>
    <w:rsid w:val="0054593A"/>
    <w:rsid w:val="00545C45"/>
    <w:rsid w:val="005467FB"/>
    <w:rsid w:val="00546AE9"/>
    <w:rsid w:val="00547989"/>
    <w:rsid w:val="00550122"/>
    <w:rsid w:val="00550F00"/>
    <w:rsid w:val="00551320"/>
    <w:rsid w:val="005518A4"/>
    <w:rsid w:val="00551BBD"/>
    <w:rsid w:val="00552768"/>
    <w:rsid w:val="00552935"/>
    <w:rsid w:val="00553127"/>
    <w:rsid w:val="005537D5"/>
    <w:rsid w:val="00553E95"/>
    <w:rsid w:val="005541D9"/>
    <w:rsid w:val="00554537"/>
    <w:rsid w:val="00554BDE"/>
    <w:rsid w:val="00554BE7"/>
    <w:rsid w:val="00555CCB"/>
    <w:rsid w:val="005563AE"/>
    <w:rsid w:val="00556D68"/>
    <w:rsid w:val="00557173"/>
    <w:rsid w:val="005576A1"/>
    <w:rsid w:val="00557A64"/>
    <w:rsid w:val="005605C0"/>
    <w:rsid w:val="005608DE"/>
    <w:rsid w:val="00560D14"/>
    <w:rsid w:val="00560D23"/>
    <w:rsid w:val="005615D8"/>
    <w:rsid w:val="00561DF3"/>
    <w:rsid w:val="005621B2"/>
    <w:rsid w:val="00562305"/>
    <w:rsid w:val="005626D6"/>
    <w:rsid w:val="00562A57"/>
    <w:rsid w:val="00563602"/>
    <w:rsid w:val="005638D4"/>
    <w:rsid w:val="005645E2"/>
    <w:rsid w:val="005647D5"/>
    <w:rsid w:val="00565586"/>
    <w:rsid w:val="005656ED"/>
    <w:rsid w:val="00566544"/>
    <w:rsid w:val="00566608"/>
    <w:rsid w:val="00566C83"/>
    <w:rsid w:val="00567A06"/>
    <w:rsid w:val="00567B9A"/>
    <w:rsid w:val="005700FE"/>
    <w:rsid w:val="005704EB"/>
    <w:rsid w:val="00570DAE"/>
    <w:rsid w:val="00570E24"/>
    <w:rsid w:val="00570FF3"/>
    <w:rsid w:val="00572760"/>
    <w:rsid w:val="00572815"/>
    <w:rsid w:val="005730F3"/>
    <w:rsid w:val="005743DE"/>
    <w:rsid w:val="00574F3F"/>
    <w:rsid w:val="0057562C"/>
    <w:rsid w:val="005759F6"/>
    <w:rsid w:val="00575E3E"/>
    <w:rsid w:val="005765F5"/>
    <w:rsid w:val="00576D6C"/>
    <w:rsid w:val="00576DF2"/>
    <w:rsid w:val="0057730B"/>
    <w:rsid w:val="00577A2E"/>
    <w:rsid w:val="00577A75"/>
    <w:rsid w:val="005800B3"/>
    <w:rsid w:val="00580763"/>
    <w:rsid w:val="00580E48"/>
    <w:rsid w:val="00580F0A"/>
    <w:rsid w:val="00580F77"/>
    <w:rsid w:val="00581246"/>
    <w:rsid w:val="00581951"/>
    <w:rsid w:val="00581C52"/>
    <w:rsid w:val="00582C3A"/>
    <w:rsid w:val="00582E1A"/>
    <w:rsid w:val="00583147"/>
    <w:rsid w:val="00584416"/>
    <w:rsid w:val="00584B39"/>
    <w:rsid w:val="00584C27"/>
    <w:rsid w:val="00584FF5"/>
    <w:rsid w:val="00585028"/>
    <w:rsid w:val="005854D1"/>
    <w:rsid w:val="0058584A"/>
    <w:rsid w:val="00585F5B"/>
    <w:rsid w:val="0058620A"/>
    <w:rsid w:val="00587FC0"/>
    <w:rsid w:val="005902C6"/>
    <w:rsid w:val="00590379"/>
    <w:rsid w:val="005906AD"/>
    <w:rsid w:val="00590AC5"/>
    <w:rsid w:val="00590DA6"/>
    <w:rsid w:val="00591C7D"/>
    <w:rsid w:val="00591FBB"/>
    <w:rsid w:val="00592B03"/>
    <w:rsid w:val="00592E50"/>
    <w:rsid w:val="00592EE0"/>
    <w:rsid w:val="00593AB9"/>
    <w:rsid w:val="00594ABB"/>
    <w:rsid w:val="00594D1C"/>
    <w:rsid w:val="00594E36"/>
    <w:rsid w:val="00594F0A"/>
    <w:rsid w:val="0059525E"/>
    <w:rsid w:val="00595887"/>
    <w:rsid w:val="005961F7"/>
    <w:rsid w:val="00596648"/>
    <w:rsid w:val="0059692A"/>
    <w:rsid w:val="00596B9C"/>
    <w:rsid w:val="005A054D"/>
    <w:rsid w:val="005A05DE"/>
    <w:rsid w:val="005A05FD"/>
    <w:rsid w:val="005A0710"/>
    <w:rsid w:val="005A0A46"/>
    <w:rsid w:val="005A10B9"/>
    <w:rsid w:val="005A11EA"/>
    <w:rsid w:val="005A205F"/>
    <w:rsid w:val="005A269F"/>
    <w:rsid w:val="005A305E"/>
    <w:rsid w:val="005A30BB"/>
    <w:rsid w:val="005A3887"/>
    <w:rsid w:val="005A4348"/>
    <w:rsid w:val="005A434B"/>
    <w:rsid w:val="005A495A"/>
    <w:rsid w:val="005A5718"/>
    <w:rsid w:val="005A6537"/>
    <w:rsid w:val="005A71DA"/>
    <w:rsid w:val="005A7C61"/>
    <w:rsid w:val="005A7F32"/>
    <w:rsid w:val="005B0417"/>
    <w:rsid w:val="005B0542"/>
    <w:rsid w:val="005B0B97"/>
    <w:rsid w:val="005B2225"/>
    <w:rsid w:val="005B2799"/>
    <w:rsid w:val="005B2B77"/>
    <w:rsid w:val="005B3D4A"/>
    <w:rsid w:val="005B4D87"/>
    <w:rsid w:val="005B50E9"/>
    <w:rsid w:val="005B538D"/>
    <w:rsid w:val="005B566D"/>
    <w:rsid w:val="005B6398"/>
    <w:rsid w:val="005B6ADF"/>
    <w:rsid w:val="005B7186"/>
    <w:rsid w:val="005B7DD1"/>
    <w:rsid w:val="005B7F03"/>
    <w:rsid w:val="005C00A0"/>
    <w:rsid w:val="005C28FA"/>
    <w:rsid w:val="005C372C"/>
    <w:rsid w:val="005C40F4"/>
    <w:rsid w:val="005C43BE"/>
    <w:rsid w:val="005C44F3"/>
    <w:rsid w:val="005C6082"/>
    <w:rsid w:val="005C661F"/>
    <w:rsid w:val="005C6EBE"/>
    <w:rsid w:val="005C712D"/>
    <w:rsid w:val="005C76FE"/>
    <w:rsid w:val="005C7C75"/>
    <w:rsid w:val="005D0273"/>
    <w:rsid w:val="005D09D1"/>
    <w:rsid w:val="005D0E4F"/>
    <w:rsid w:val="005D1E32"/>
    <w:rsid w:val="005D1FA3"/>
    <w:rsid w:val="005D206B"/>
    <w:rsid w:val="005D22B7"/>
    <w:rsid w:val="005D2503"/>
    <w:rsid w:val="005D257B"/>
    <w:rsid w:val="005D2BDE"/>
    <w:rsid w:val="005D2C4D"/>
    <w:rsid w:val="005D3B36"/>
    <w:rsid w:val="005D3BBC"/>
    <w:rsid w:val="005D3D76"/>
    <w:rsid w:val="005D3DD5"/>
    <w:rsid w:val="005D3EAD"/>
    <w:rsid w:val="005D4578"/>
    <w:rsid w:val="005D4E78"/>
    <w:rsid w:val="005D4EFA"/>
    <w:rsid w:val="005D55BA"/>
    <w:rsid w:val="005D5ADB"/>
    <w:rsid w:val="005D5DFD"/>
    <w:rsid w:val="005D5E44"/>
    <w:rsid w:val="005D5FE3"/>
    <w:rsid w:val="005D648A"/>
    <w:rsid w:val="005D7D35"/>
    <w:rsid w:val="005D7E0D"/>
    <w:rsid w:val="005E136C"/>
    <w:rsid w:val="005E234A"/>
    <w:rsid w:val="005E29E2"/>
    <w:rsid w:val="005E2FAD"/>
    <w:rsid w:val="005E307B"/>
    <w:rsid w:val="005E35CC"/>
    <w:rsid w:val="005E371E"/>
    <w:rsid w:val="005E53F9"/>
    <w:rsid w:val="005E5708"/>
    <w:rsid w:val="005E6E57"/>
    <w:rsid w:val="005E775D"/>
    <w:rsid w:val="005F0A43"/>
    <w:rsid w:val="005F0C94"/>
    <w:rsid w:val="005F0EAF"/>
    <w:rsid w:val="005F27BF"/>
    <w:rsid w:val="005F3F35"/>
    <w:rsid w:val="005F4171"/>
    <w:rsid w:val="005F46D6"/>
    <w:rsid w:val="005F4DD6"/>
    <w:rsid w:val="005F50D8"/>
    <w:rsid w:val="005F5119"/>
    <w:rsid w:val="005F53A1"/>
    <w:rsid w:val="005F62F5"/>
    <w:rsid w:val="005F6B77"/>
    <w:rsid w:val="005F7487"/>
    <w:rsid w:val="005F7751"/>
    <w:rsid w:val="006002C7"/>
    <w:rsid w:val="00600CFB"/>
    <w:rsid w:val="00600F95"/>
    <w:rsid w:val="006011CC"/>
    <w:rsid w:val="00601748"/>
    <w:rsid w:val="00601839"/>
    <w:rsid w:val="00601A8A"/>
    <w:rsid w:val="006021B6"/>
    <w:rsid w:val="00602759"/>
    <w:rsid w:val="0060277A"/>
    <w:rsid w:val="006029AF"/>
    <w:rsid w:val="00602B7C"/>
    <w:rsid w:val="00602D5A"/>
    <w:rsid w:val="00602EA6"/>
    <w:rsid w:val="00603312"/>
    <w:rsid w:val="00604936"/>
    <w:rsid w:val="00604DC7"/>
    <w:rsid w:val="00604E47"/>
    <w:rsid w:val="00604E57"/>
    <w:rsid w:val="00605441"/>
    <w:rsid w:val="00605EAD"/>
    <w:rsid w:val="00606970"/>
    <w:rsid w:val="00606A20"/>
    <w:rsid w:val="006072C6"/>
    <w:rsid w:val="00607A02"/>
    <w:rsid w:val="00607A2E"/>
    <w:rsid w:val="006101DF"/>
    <w:rsid w:val="00611055"/>
    <w:rsid w:val="00612BE4"/>
    <w:rsid w:val="006130F7"/>
    <w:rsid w:val="00613AF8"/>
    <w:rsid w:val="00613D8E"/>
    <w:rsid w:val="006142E0"/>
    <w:rsid w:val="006143C0"/>
    <w:rsid w:val="00615206"/>
    <w:rsid w:val="00615E74"/>
    <w:rsid w:val="00615F97"/>
    <w:rsid w:val="00616112"/>
    <w:rsid w:val="00617734"/>
    <w:rsid w:val="006205CA"/>
    <w:rsid w:val="00620B34"/>
    <w:rsid w:val="006217E9"/>
    <w:rsid w:val="00621E22"/>
    <w:rsid w:val="00621F3D"/>
    <w:rsid w:val="00621F53"/>
    <w:rsid w:val="00622CBA"/>
    <w:rsid w:val="00622E2A"/>
    <w:rsid w:val="00623089"/>
    <w:rsid w:val="0062308E"/>
    <w:rsid w:val="00623175"/>
    <w:rsid w:val="006234C4"/>
    <w:rsid w:val="006244C9"/>
    <w:rsid w:val="006245F6"/>
    <w:rsid w:val="0062475D"/>
    <w:rsid w:val="0062495F"/>
    <w:rsid w:val="00624B19"/>
    <w:rsid w:val="00624EE5"/>
    <w:rsid w:val="0062568D"/>
    <w:rsid w:val="0062660B"/>
    <w:rsid w:val="00626AD1"/>
    <w:rsid w:val="00626F83"/>
    <w:rsid w:val="006304BC"/>
    <w:rsid w:val="00630A24"/>
    <w:rsid w:val="00630DCE"/>
    <w:rsid w:val="006310F0"/>
    <w:rsid w:val="0063120A"/>
    <w:rsid w:val="0063150B"/>
    <w:rsid w:val="00631585"/>
    <w:rsid w:val="006316B0"/>
    <w:rsid w:val="00632126"/>
    <w:rsid w:val="00633545"/>
    <w:rsid w:val="0063454B"/>
    <w:rsid w:val="00634ACF"/>
    <w:rsid w:val="00635035"/>
    <w:rsid w:val="0063580D"/>
    <w:rsid w:val="006359FE"/>
    <w:rsid w:val="00635CAE"/>
    <w:rsid w:val="00637240"/>
    <w:rsid w:val="006373CE"/>
    <w:rsid w:val="006379A0"/>
    <w:rsid w:val="00637C1A"/>
    <w:rsid w:val="00637FB7"/>
    <w:rsid w:val="00640A80"/>
    <w:rsid w:val="00640F77"/>
    <w:rsid w:val="00641412"/>
    <w:rsid w:val="00643037"/>
    <w:rsid w:val="00643660"/>
    <w:rsid w:val="00646E26"/>
    <w:rsid w:val="00650139"/>
    <w:rsid w:val="00650F80"/>
    <w:rsid w:val="00651100"/>
    <w:rsid w:val="00651B15"/>
    <w:rsid w:val="00651FD4"/>
    <w:rsid w:val="006521AC"/>
    <w:rsid w:val="00652756"/>
    <w:rsid w:val="00652A9F"/>
    <w:rsid w:val="00652AD8"/>
    <w:rsid w:val="00652B79"/>
    <w:rsid w:val="006533C3"/>
    <w:rsid w:val="00654068"/>
    <w:rsid w:val="00654B38"/>
    <w:rsid w:val="00654B83"/>
    <w:rsid w:val="00655061"/>
    <w:rsid w:val="0065510C"/>
    <w:rsid w:val="00655B63"/>
    <w:rsid w:val="00656057"/>
    <w:rsid w:val="006564E4"/>
    <w:rsid w:val="00656A5C"/>
    <w:rsid w:val="00656ECD"/>
    <w:rsid w:val="00656FDC"/>
    <w:rsid w:val="006571F6"/>
    <w:rsid w:val="00657FA0"/>
    <w:rsid w:val="006604D5"/>
    <w:rsid w:val="006618CC"/>
    <w:rsid w:val="00661DA1"/>
    <w:rsid w:val="00662111"/>
    <w:rsid w:val="00662118"/>
    <w:rsid w:val="006638AD"/>
    <w:rsid w:val="00663E55"/>
    <w:rsid w:val="006645DD"/>
    <w:rsid w:val="00666E4C"/>
    <w:rsid w:val="006671D4"/>
    <w:rsid w:val="0066732C"/>
    <w:rsid w:val="006679F5"/>
    <w:rsid w:val="00667B77"/>
    <w:rsid w:val="00671329"/>
    <w:rsid w:val="006716DA"/>
    <w:rsid w:val="006728ED"/>
    <w:rsid w:val="006732B1"/>
    <w:rsid w:val="006741CB"/>
    <w:rsid w:val="0067422E"/>
    <w:rsid w:val="0067446F"/>
    <w:rsid w:val="006746A4"/>
    <w:rsid w:val="00675122"/>
    <w:rsid w:val="00675558"/>
    <w:rsid w:val="00675611"/>
    <w:rsid w:val="00675A60"/>
    <w:rsid w:val="0067697E"/>
    <w:rsid w:val="00677304"/>
    <w:rsid w:val="00677443"/>
    <w:rsid w:val="00677583"/>
    <w:rsid w:val="0067769A"/>
    <w:rsid w:val="00677DFE"/>
    <w:rsid w:val="006806A3"/>
    <w:rsid w:val="006806A6"/>
    <w:rsid w:val="00680C80"/>
    <w:rsid w:val="00680F33"/>
    <w:rsid w:val="00681211"/>
    <w:rsid w:val="00681B36"/>
    <w:rsid w:val="00682040"/>
    <w:rsid w:val="00682E14"/>
    <w:rsid w:val="00683558"/>
    <w:rsid w:val="00683D9E"/>
    <w:rsid w:val="0068436C"/>
    <w:rsid w:val="0068545E"/>
    <w:rsid w:val="00685569"/>
    <w:rsid w:val="00685F03"/>
    <w:rsid w:val="00685FD4"/>
    <w:rsid w:val="006864D0"/>
    <w:rsid w:val="00686612"/>
    <w:rsid w:val="0068661E"/>
    <w:rsid w:val="0068697A"/>
    <w:rsid w:val="006871C5"/>
    <w:rsid w:val="0068784D"/>
    <w:rsid w:val="006879EF"/>
    <w:rsid w:val="00687ACB"/>
    <w:rsid w:val="00690A49"/>
    <w:rsid w:val="00690B16"/>
    <w:rsid w:val="00690BB6"/>
    <w:rsid w:val="006912EC"/>
    <w:rsid w:val="00691B30"/>
    <w:rsid w:val="006922E8"/>
    <w:rsid w:val="00693E1F"/>
    <w:rsid w:val="00693ECB"/>
    <w:rsid w:val="00694797"/>
    <w:rsid w:val="00695175"/>
    <w:rsid w:val="00695887"/>
    <w:rsid w:val="00695D8F"/>
    <w:rsid w:val="006962D4"/>
    <w:rsid w:val="00696E01"/>
    <w:rsid w:val="00697733"/>
    <w:rsid w:val="00697A3C"/>
    <w:rsid w:val="006A1911"/>
    <w:rsid w:val="006A1D8D"/>
    <w:rsid w:val="006A254E"/>
    <w:rsid w:val="006A2C30"/>
    <w:rsid w:val="006A301C"/>
    <w:rsid w:val="006A3525"/>
    <w:rsid w:val="006A3D71"/>
    <w:rsid w:val="006A3E2B"/>
    <w:rsid w:val="006A4224"/>
    <w:rsid w:val="006A454D"/>
    <w:rsid w:val="006A4E81"/>
    <w:rsid w:val="006A593F"/>
    <w:rsid w:val="006A5955"/>
    <w:rsid w:val="006A6C86"/>
    <w:rsid w:val="006A6E17"/>
    <w:rsid w:val="006A7264"/>
    <w:rsid w:val="006B0600"/>
    <w:rsid w:val="006B120D"/>
    <w:rsid w:val="006B17E7"/>
    <w:rsid w:val="006B19E8"/>
    <w:rsid w:val="006B1A8A"/>
    <w:rsid w:val="006B1FD5"/>
    <w:rsid w:val="006B3F58"/>
    <w:rsid w:val="006B526F"/>
    <w:rsid w:val="006B555A"/>
    <w:rsid w:val="006B5A00"/>
    <w:rsid w:val="006B600A"/>
    <w:rsid w:val="006B6635"/>
    <w:rsid w:val="006B7157"/>
    <w:rsid w:val="006B76A1"/>
    <w:rsid w:val="006B7D22"/>
    <w:rsid w:val="006B7D2C"/>
    <w:rsid w:val="006C0361"/>
    <w:rsid w:val="006C0FA6"/>
    <w:rsid w:val="006C1019"/>
    <w:rsid w:val="006C122C"/>
    <w:rsid w:val="006C1755"/>
    <w:rsid w:val="006C25A1"/>
    <w:rsid w:val="006C2BB5"/>
    <w:rsid w:val="006C2BEE"/>
    <w:rsid w:val="006C3AD8"/>
    <w:rsid w:val="006C4516"/>
    <w:rsid w:val="006C455E"/>
    <w:rsid w:val="006C5958"/>
    <w:rsid w:val="006C5A55"/>
    <w:rsid w:val="006C5B4F"/>
    <w:rsid w:val="006C643C"/>
    <w:rsid w:val="006C6E3A"/>
    <w:rsid w:val="006C6FD7"/>
    <w:rsid w:val="006C7124"/>
    <w:rsid w:val="006C734F"/>
    <w:rsid w:val="006C737F"/>
    <w:rsid w:val="006C7F67"/>
    <w:rsid w:val="006D00DB"/>
    <w:rsid w:val="006D0361"/>
    <w:rsid w:val="006D16B0"/>
    <w:rsid w:val="006D2182"/>
    <w:rsid w:val="006D2444"/>
    <w:rsid w:val="006D254B"/>
    <w:rsid w:val="006D289B"/>
    <w:rsid w:val="006D30CE"/>
    <w:rsid w:val="006D3B2D"/>
    <w:rsid w:val="006D3BE1"/>
    <w:rsid w:val="006D48FC"/>
    <w:rsid w:val="006D62BC"/>
    <w:rsid w:val="006D6450"/>
    <w:rsid w:val="006D6939"/>
    <w:rsid w:val="006D7EB0"/>
    <w:rsid w:val="006E0138"/>
    <w:rsid w:val="006E017F"/>
    <w:rsid w:val="006E04E5"/>
    <w:rsid w:val="006E0587"/>
    <w:rsid w:val="006E0BB0"/>
    <w:rsid w:val="006E0CC3"/>
    <w:rsid w:val="006E12C3"/>
    <w:rsid w:val="006E1BF8"/>
    <w:rsid w:val="006E222C"/>
    <w:rsid w:val="006E2529"/>
    <w:rsid w:val="006E2C08"/>
    <w:rsid w:val="006E2D46"/>
    <w:rsid w:val="006E3FFE"/>
    <w:rsid w:val="006E45F3"/>
    <w:rsid w:val="006E4951"/>
    <w:rsid w:val="006E4A2F"/>
    <w:rsid w:val="006E4ED4"/>
    <w:rsid w:val="006E5E19"/>
    <w:rsid w:val="006E61C3"/>
    <w:rsid w:val="006E6490"/>
    <w:rsid w:val="006E7370"/>
    <w:rsid w:val="006E799D"/>
    <w:rsid w:val="006F0593"/>
    <w:rsid w:val="006F1064"/>
    <w:rsid w:val="006F1D8A"/>
    <w:rsid w:val="006F1EB7"/>
    <w:rsid w:val="006F272E"/>
    <w:rsid w:val="006F3327"/>
    <w:rsid w:val="006F464D"/>
    <w:rsid w:val="006F5132"/>
    <w:rsid w:val="006F52E5"/>
    <w:rsid w:val="006F6066"/>
    <w:rsid w:val="006F656E"/>
    <w:rsid w:val="006F6850"/>
    <w:rsid w:val="006F707E"/>
    <w:rsid w:val="00700136"/>
    <w:rsid w:val="007001DC"/>
    <w:rsid w:val="0070048C"/>
    <w:rsid w:val="00700527"/>
    <w:rsid w:val="00701ABA"/>
    <w:rsid w:val="00701BED"/>
    <w:rsid w:val="00702202"/>
    <w:rsid w:val="007025CB"/>
    <w:rsid w:val="007034AA"/>
    <w:rsid w:val="00703C9D"/>
    <w:rsid w:val="00703F13"/>
    <w:rsid w:val="00704220"/>
    <w:rsid w:val="00704763"/>
    <w:rsid w:val="0070490C"/>
    <w:rsid w:val="00705C38"/>
    <w:rsid w:val="00705FDB"/>
    <w:rsid w:val="00706082"/>
    <w:rsid w:val="00706465"/>
    <w:rsid w:val="0070695A"/>
    <w:rsid w:val="0070782D"/>
    <w:rsid w:val="007079D6"/>
    <w:rsid w:val="00710837"/>
    <w:rsid w:val="007109C2"/>
    <w:rsid w:val="00710D1B"/>
    <w:rsid w:val="00711340"/>
    <w:rsid w:val="00711D7C"/>
    <w:rsid w:val="00712345"/>
    <w:rsid w:val="00712C42"/>
    <w:rsid w:val="00712F4E"/>
    <w:rsid w:val="00713446"/>
    <w:rsid w:val="0071362F"/>
    <w:rsid w:val="0071364C"/>
    <w:rsid w:val="007136D0"/>
    <w:rsid w:val="00713915"/>
    <w:rsid w:val="00713DE4"/>
    <w:rsid w:val="00714C47"/>
    <w:rsid w:val="00714C65"/>
    <w:rsid w:val="00715485"/>
    <w:rsid w:val="007157FB"/>
    <w:rsid w:val="00716462"/>
    <w:rsid w:val="00716D6C"/>
    <w:rsid w:val="00720A03"/>
    <w:rsid w:val="00720F23"/>
    <w:rsid w:val="00721084"/>
    <w:rsid w:val="00721194"/>
    <w:rsid w:val="00721262"/>
    <w:rsid w:val="007212A1"/>
    <w:rsid w:val="00721D9B"/>
    <w:rsid w:val="00722121"/>
    <w:rsid w:val="007222A7"/>
    <w:rsid w:val="007224B9"/>
    <w:rsid w:val="00722F94"/>
    <w:rsid w:val="00723AA7"/>
    <w:rsid w:val="00724075"/>
    <w:rsid w:val="0072432E"/>
    <w:rsid w:val="007246B9"/>
    <w:rsid w:val="00724932"/>
    <w:rsid w:val="007258FB"/>
    <w:rsid w:val="00726036"/>
    <w:rsid w:val="00726279"/>
    <w:rsid w:val="007269CB"/>
    <w:rsid w:val="00726A9B"/>
    <w:rsid w:val="00727530"/>
    <w:rsid w:val="00727C27"/>
    <w:rsid w:val="00727DDA"/>
    <w:rsid w:val="00730EBB"/>
    <w:rsid w:val="007313FE"/>
    <w:rsid w:val="0073188D"/>
    <w:rsid w:val="00731E7C"/>
    <w:rsid w:val="00732624"/>
    <w:rsid w:val="007329EF"/>
    <w:rsid w:val="00732B90"/>
    <w:rsid w:val="007330CD"/>
    <w:rsid w:val="0073327A"/>
    <w:rsid w:val="0073338C"/>
    <w:rsid w:val="00734EBE"/>
    <w:rsid w:val="00734ED6"/>
    <w:rsid w:val="007351E6"/>
    <w:rsid w:val="00736829"/>
    <w:rsid w:val="0073698F"/>
    <w:rsid w:val="007369A0"/>
    <w:rsid w:val="00736A25"/>
    <w:rsid w:val="00736DD8"/>
    <w:rsid w:val="0073767A"/>
    <w:rsid w:val="00737A34"/>
    <w:rsid w:val="0074038A"/>
    <w:rsid w:val="00740622"/>
    <w:rsid w:val="0074076A"/>
    <w:rsid w:val="007413D8"/>
    <w:rsid w:val="0074145D"/>
    <w:rsid w:val="00741AF4"/>
    <w:rsid w:val="00741DCC"/>
    <w:rsid w:val="0074203A"/>
    <w:rsid w:val="007427B5"/>
    <w:rsid w:val="00742865"/>
    <w:rsid w:val="0074296C"/>
    <w:rsid w:val="00742C83"/>
    <w:rsid w:val="00743029"/>
    <w:rsid w:val="007435AC"/>
    <w:rsid w:val="0074360F"/>
    <w:rsid w:val="00743AB0"/>
    <w:rsid w:val="00744181"/>
    <w:rsid w:val="00744A64"/>
    <w:rsid w:val="00744D47"/>
    <w:rsid w:val="00744EA0"/>
    <w:rsid w:val="0074638D"/>
    <w:rsid w:val="00746484"/>
    <w:rsid w:val="0074704F"/>
    <w:rsid w:val="0074772E"/>
    <w:rsid w:val="00747F48"/>
    <w:rsid w:val="00747F4C"/>
    <w:rsid w:val="00751091"/>
    <w:rsid w:val="00751467"/>
    <w:rsid w:val="007514B9"/>
    <w:rsid w:val="00751B83"/>
    <w:rsid w:val="0075210D"/>
    <w:rsid w:val="00752869"/>
    <w:rsid w:val="00752975"/>
    <w:rsid w:val="00752B1A"/>
    <w:rsid w:val="007539BC"/>
    <w:rsid w:val="00754359"/>
    <w:rsid w:val="00754411"/>
    <w:rsid w:val="00754BD9"/>
    <w:rsid w:val="00754E7A"/>
    <w:rsid w:val="0075540C"/>
    <w:rsid w:val="00755DB1"/>
    <w:rsid w:val="00756570"/>
    <w:rsid w:val="007573A2"/>
    <w:rsid w:val="007574FC"/>
    <w:rsid w:val="00757FA5"/>
    <w:rsid w:val="00760975"/>
    <w:rsid w:val="00761FDA"/>
    <w:rsid w:val="007621FF"/>
    <w:rsid w:val="0076300E"/>
    <w:rsid w:val="007634E3"/>
    <w:rsid w:val="00764194"/>
    <w:rsid w:val="007644F3"/>
    <w:rsid w:val="007646BC"/>
    <w:rsid w:val="007654FE"/>
    <w:rsid w:val="007659BA"/>
    <w:rsid w:val="00765ED3"/>
    <w:rsid w:val="0076613C"/>
    <w:rsid w:val="0076681D"/>
    <w:rsid w:val="00766A65"/>
    <w:rsid w:val="00766D2E"/>
    <w:rsid w:val="007671F5"/>
    <w:rsid w:val="007676B8"/>
    <w:rsid w:val="00767755"/>
    <w:rsid w:val="0077073A"/>
    <w:rsid w:val="00770F48"/>
    <w:rsid w:val="0077175C"/>
    <w:rsid w:val="00771870"/>
    <w:rsid w:val="00771BF9"/>
    <w:rsid w:val="007724C8"/>
    <w:rsid w:val="00772BEF"/>
    <w:rsid w:val="00772F8A"/>
    <w:rsid w:val="007739C6"/>
    <w:rsid w:val="00774712"/>
    <w:rsid w:val="00774889"/>
    <w:rsid w:val="00774FF5"/>
    <w:rsid w:val="007750B3"/>
    <w:rsid w:val="00775507"/>
    <w:rsid w:val="007756DF"/>
    <w:rsid w:val="00775F76"/>
    <w:rsid w:val="007761EC"/>
    <w:rsid w:val="00776925"/>
    <w:rsid w:val="00776AEA"/>
    <w:rsid w:val="00776EC7"/>
    <w:rsid w:val="00777BA0"/>
    <w:rsid w:val="007803BD"/>
    <w:rsid w:val="007811DC"/>
    <w:rsid w:val="007820FA"/>
    <w:rsid w:val="00782700"/>
    <w:rsid w:val="0078285F"/>
    <w:rsid w:val="00782F27"/>
    <w:rsid w:val="00782FEF"/>
    <w:rsid w:val="00783207"/>
    <w:rsid w:val="0078345E"/>
    <w:rsid w:val="00783E1D"/>
    <w:rsid w:val="007843AA"/>
    <w:rsid w:val="0078464B"/>
    <w:rsid w:val="0078483B"/>
    <w:rsid w:val="00784EED"/>
    <w:rsid w:val="00785900"/>
    <w:rsid w:val="00786958"/>
    <w:rsid w:val="00786E71"/>
    <w:rsid w:val="00790108"/>
    <w:rsid w:val="00790648"/>
    <w:rsid w:val="0079162F"/>
    <w:rsid w:val="0079262B"/>
    <w:rsid w:val="00792788"/>
    <w:rsid w:val="00792B63"/>
    <w:rsid w:val="00793790"/>
    <w:rsid w:val="007947BC"/>
    <w:rsid w:val="00794924"/>
    <w:rsid w:val="00796161"/>
    <w:rsid w:val="007A0BC2"/>
    <w:rsid w:val="007A11FA"/>
    <w:rsid w:val="007A122F"/>
    <w:rsid w:val="007A19EE"/>
    <w:rsid w:val="007A1F44"/>
    <w:rsid w:val="007A1FDA"/>
    <w:rsid w:val="007A23FF"/>
    <w:rsid w:val="007A2564"/>
    <w:rsid w:val="007A295B"/>
    <w:rsid w:val="007A3424"/>
    <w:rsid w:val="007A35EF"/>
    <w:rsid w:val="007A4316"/>
    <w:rsid w:val="007A43A2"/>
    <w:rsid w:val="007A4D04"/>
    <w:rsid w:val="007A5CB9"/>
    <w:rsid w:val="007A5FC5"/>
    <w:rsid w:val="007A6736"/>
    <w:rsid w:val="007A74B1"/>
    <w:rsid w:val="007A7665"/>
    <w:rsid w:val="007A7857"/>
    <w:rsid w:val="007A7983"/>
    <w:rsid w:val="007A7A96"/>
    <w:rsid w:val="007B01E5"/>
    <w:rsid w:val="007B03AF"/>
    <w:rsid w:val="007B0868"/>
    <w:rsid w:val="007B0909"/>
    <w:rsid w:val="007B0E3A"/>
    <w:rsid w:val="007B1543"/>
    <w:rsid w:val="007B1AC0"/>
    <w:rsid w:val="007B270A"/>
    <w:rsid w:val="007B27D0"/>
    <w:rsid w:val="007B2D3B"/>
    <w:rsid w:val="007B468D"/>
    <w:rsid w:val="007B51FB"/>
    <w:rsid w:val="007B52CD"/>
    <w:rsid w:val="007B5851"/>
    <w:rsid w:val="007B5D73"/>
    <w:rsid w:val="007B6740"/>
    <w:rsid w:val="007B78FA"/>
    <w:rsid w:val="007B7DC1"/>
    <w:rsid w:val="007B7EDB"/>
    <w:rsid w:val="007C000D"/>
    <w:rsid w:val="007C045E"/>
    <w:rsid w:val="007C1896"/>
    <w:rsid w:val="007C18ED"/>
    <w:rsid w:val="007C19AD"/>
    <w:rsid w:val="007C3598"/>
    <w:rsid w:val="007C3FA8"/>
    <w:rsid w:val="007C3FBD"/>
    <w:rsid w:val="007C4F49"/>
    <w:rsid w:val="007C5F66"/>
    <w:rsid w:val="007C68DA"/>
    <w:rsid w:val="007C6C28"/>
    <w:rsid w:val="007C7F34"/>
    <w:rsid w:val="007D0336"/>
    <w:rsid w:val="007D0393"/>
    <w:rsid w:val="007D0CAB"/>
    <w:rsid w:val="007D0D3E"/>
    <w:rsid w:val="007D150A"/>
    <w:rsid w:val="007D15F0"/>
    <w:rsid w:val="007D1AB3"/>
    <w:rsid w:val="007D229A"/>
    <w:rsid w:val="007D2567"/>
    <w:rsid w:val="007D2B68"/>
    <w:rsid w:val="007D2E13"/>
    <w:rsid w:val="007D2F44"/>
    <w:rsid w:val="007D2F4D"/>
    <w:rsid w:val="007D3DAC"/>
    <w:rsid w:val="007D4178"/>
    <w:rsid w:val="007D4265"/>
    <w:rsid w:val="007D4C9C"/>
    <w:rsid w:val="007D4D33"/>
    <w:rsid w:val="007D55E1"/>
    <w:rsid w:val="007D7175"/>
    <w:rsid w:val="007D76A3"/>
    <w:rsid w:val="007D7F29"/>
    <w:rsid w:val="007E0F85"/>
    <w:rsid w:val="007E1369"/>
    <w:rsid w:val="007E13BC"/>
    <w:rsid w:val="007E1A1B"/>
    <w:rsid w:val="007E1A88"/>
    <w:rsid w:val="007E3A5C"/>
    <w:rsid w:val="007E3EE7"/>
    <w:rsid w:val="007E4467"/>
    <w:rsid w:val="007E4C88"/>
    <w:rsid w:val="007E4E99"/>
    <w:rsid w:val="007E585E"/>
    <w:rsid w:val="007E590E"/>
    <w:rsid w:val="007E5B3F"/>
    <w:rsid w:val="007E5BA4"/>
    <w:rsid w:val="007E64CB"/>
    <w:rsid w:val="007E7DDF"/>
    <w:rsid w:val="007E7EAA"/>
    <w:rsid w:val="007F0538"/>
    <w:rsid w:val="007F05F4"/>
    <w:rsid w:val="007F0B05"/>
    <w:rsid w:val="007F11C8"/>
    <w:rsid w:val="007F15A3"/>
    <w:rsid w:val="007F1CFB"/>
    <w:rsid w:val="007F220B"/>
    <w:rsid w:val="007F27DD"/>
    <w:rsid w:val="007F2C3E"/>
    <w:rsid w:val="007F2EBC"/>
    <w:rsid w:val="007F3374"/>
    <w:rsid w:val="007F3606"/>
    <w:rsid w:val="007F6880"/>
    <w:rsid w:val="007F732C"/>
    <w:rsid w:val="007F76B4"/>
    <w:rsid w:val="008001B4"/>
    <w:rsid w:val="0080032C"/>
    <w:rsid w:val="00800769"/>
    <w:rsid w:val="008008AD"/>
    <w:rsid w:val="00800A56"/>
    <w:rsid w:val="00800ED2"/>
    <w:rsid w:val="00801475"/>
    <w:rsid w:val="008015B3"/>
    <w:rsid w:val="00801E98"/>
    <w:rsid w:val="00801F3B"/>
    <w:rsid w:val="00802A4D"/>
    <w:rsid w:val="00802E74"/>
    <w:rsid w:val="00803552"/>
    <w:rsid w:val="00803AC8"/>
    <w:rsid w:val="00804B61"/>
    <w:rsid w:val="00804B92"/>
    <w:rsid w:val="00804E21"/>
    <w:rsid w:val="00805092"/>
    <w:rsid w:val="008058B9"/>
    <w:rsid w:val="008059BD"/>
    <w:rsid w:val="00805F4C"/>
    <w:rsid w:val="00806249"/>
    <w:rsid w:val="00806AAF"/>
    <w:rsid w:val="00806C06"/>
    <w:rsid w:val="008070AC"/>
    <w:rsid w:val="00807999"/>
    <w:rsid w:val="00807B9C"/>
    <w:rsid w:val="008101FD"/>
    <w:rsid w:val="008103F8"/>
    <w:rsid w:val="00810925"/>
    <w:rsid w:val="00810D8D"/>
    <w:rsid w:val="00810F85"/>
    <w:rsid w:val="008117C0"/>
    <w:rsid w:val="00811835"/>
    <w:rsid w:val="00812702"/>
    <w:rsid w:val="008127E6"/>
    <w:rsid w:val="00812BC6"/>
    <w:rsid w:val="00812E57"/>
    <w:rsid w:val="00814408"/>
    <w:rsid w:val="008152C4"/>
    <w:rsid w:val="0081581D"/>
    <w:rsid w:val="0081623E"/>
    <w:rsid w:val="008172BE"/>
    <w:rsid w:val="008179D1"/>
    <w:rsid w:val="00817B71"/>
    <w:rsid w:val="0082000B"/>
    <w:rsid w:val="00820244"/>
    <w:rsid w:val="00820C8C"/>
    <w:rsid w:val="008221B3"/>
    <w:rsid w:val="0082248E"/>
    <w:rsid w:val="008227A9"/>
    <w:rsid w:val="0082371C"/>
    <w:rsid w:val="008238DF"/>
    <w:rsid w:val="00823BEE"/>
    <w:rsid w:val="00824327"/>
    <w:rsid w:val="00824FDF"/>
    <w:rsid w:val="00825108"/>
    <w:rsid w:val="00825125"/>
    <w:rsid w:val="008257CC"/>
    <w:rsid w:val="00826348"/>
    <w:rsid w:val="00826D83"/>
    <w:rsid w:val="008270D9"/>
    <w:rsid w:val="008274BF"/>
    <w:rsid w:val="00830DC3"/>
    <w:rsid w:val="008310C6"/>
    <w:rsid w:val="0083125A"/>
    <w:rsid w:val="00831555"/>
    <w:rsid w:val="00831F52"/>
    <w:rsid w:val="00832154"/>
    <w:rsid w:val="00832497"/>
    <w:rsid w:val="00832CF5"/>
    <w:rsid w:val="00832DBA"/>
    <w:rsid w:val="00832F5C"/>
    <w:rsid w:val="008335B5"/>
    <w:rsid w:val="00833734"/>
    <w:rsid w:val="00833DDE"/>
    <w:rsid w:val="00834B48"/>
    <w:rsid w:val="008357FB"/>
    <w:rsid w:val="00835812"/>
    <w:rsid w:val="008359E0"/>
    <w:rsid w:val="0083738E"/>
    <w:rsid w:val="00837658"/>
    <w:rsid w:val="008376F6"/>
    <w:rsid w:val="00837D5B"/>
    <w:rsid w:val="00840607"/>
    <w:rsid w:val="00840BCA"/>
    <w:rsid w:val="00841CD2"/>
    <w:rsid w:val="008423DB"/>
    <w:rsid w:val="008426A3"/>
    <w:rsid w:val="00842816"/>
    <w:rsid w:val="00842B77"/>
    <w:rsid w:val="00842D83"/>
    <w:rsid w:val="0084309F"/>
    <w:rsid w:val="0084341D"/>
    <w:rsid w:val="00843552"/>
    <w:rsid w:val="00844180"/>
    <w:rsid w:val="00845A24"/>
    <w:rsid w:val="00845C12"/>
    <w:rsid w:val="00846755"/>
    <w:rsid w:val="008469D9"/>
    <w:rsid w:val="00846DC0"/>
    <w:rsid w:val="008474A7"/>
    <w:rsid w:val="00850291"/>
    <w:rsid w:val="008502CD"/>
    <w:rsid w:val="008506B6"/>
    <w:rsid w:val="00850AE0"/>
    <w:rsid w:val="008524D2"/>
    <w:rsid w:val="00852E19"/>
    <w:rsid w:val="0085357B"/>
    <w:rsid w:val="008542D4"/>
    <w:rsid w:val="008559C7"/>
    <w:rsid w:val="00856833"/>
    <w:rsid w:val="00856840"/>
    <w:rsid w:val="00857932"/>
    <w:rsid w:val="00860407"/>
    <w:rsid w:val="0086087C"/>
    <w:rsid w:val="00860D8E"/>
    <w:rsid w:val="00862406"/>
    <w:rsid w:val="0086275E"/>
    <w:rsid w:val="008627F0"/>
    <w:rsid w:val="008642B2"/>
    <w:rsid w:val="0086443C"/>
    <w:rsid w:val="00864440"/>
    <w:rsid w:val="00864D76"/>
    <w:rsid w:val="008650FC"/>
    <w:rsid w:val="008656C1"/>
    <w:rsid w:val="00865797"/>
    <w:rsid w:val="0086617A"/>
    <w:rsid w:val="008667C5"/>
    <w:rsid w:val="00866EB3"/>
    <w:rsid w:val="0086701A"/>
    <w:rsid w:val="00867BD2"/>
    <w:rsid w:val="00867E96"/>
    <w:rsid w:val="00870886"/>
    <w:rsid w:val="008712FD"/>
    <w:rsid w:val="008716A1"/>
    <w:rsid w:val="008727A4"/>
    <w:rsid w:val="00872D3F"/>
    <w:rsid w:val="008733E4"/>
    <w:rsid w:val="008739A4"/>
    <w:rsid w:val="00873DDE"/>
    <w:rsid w:val="00873F15"/>
    <w:rsid w:val="00874096"/>
    <w:rsid w:val="00874CD7"/>
    <w:rsid w:val="00874DB5"/>
    <w:rsid w:val="008756A4"/>
    <w:rsid w:val="00875893"/>
    <w:rsid w:val="00875F73"/>
    <w:rsid w:val="008777B8"/>
    <w:rsid w:val="008801E4"/>
    <w:rsid w:val="00880F30"/>
    <w:rsid w:val="00881710"/>
    <w:rsid w:val="008827DA"/>
    <w:rsid w:val="00882F73"/>
    <w:rsid w:val="008833E8"/>
    <w:rsid w:val="00883484"/>
    <w:rsid w:val="00884879"/>
    <w:rsid w:val="008850AE"/>
    <w:rsid w:val="008862EE"/>
    <w:rsid w:val="00886894"/>
    <w:rsid w:val="00887318"/>
    <w:rsid w:val="00887B48"/>
    <w:rsid w:val="00887C41"/>
    <w:rsid w:val="008903E4"/>
    <w:rsid w:val="0089176E"/>
    <w:rsid w:val="008917E0"/>
    <w:rsid w:val="00892365"/>
    <w:rsid w:val="0089254E"/>
    <w:rsid w:val="00892BE5"/>
    <w:rsid w:val="0089306F"/>
    <w:rsid w:val="0089387C"/>
    <w:rsid w:val="00893BF0"/>
    <w:rsid w:val="008940C3"/>
    <w:rsid w:val="008940F8"/>
    <w:rsid w:val="0089444E"/>
    <w:rsid w:val="0089494D"/>
    <w:rsid w:val="008949DF"/>
    <w:rsid w:val="00894C7B"/>
    <w:rsid w:val="008951DB"/>
    <w:rsid w:val="008952ED"/>
    <w:rsid w:val="008967EF"/>
    <w:rsid w:val="00896C81"/>
    <w:rsid w:val="00896D83"/>
    <w:rsid w:val="00897C52"/>
    <w:rsid w:val="008A0AB2"/>
    <w:rsid w:val="008A0CFC"/>
    <w:rsid w:val="008A12FE"/>
    <w:rsid w:val="008A28B6"/>
    <w:rsid w:val="008A2BB1"/>
    <w:rsid w:val="008A3466"/>
    <w:rsid w:val="008A389F"/>
    <w:rsid w:val="008A3D02"/>
    <w:rsid w:val="008A49FC"/>
    <w:rsid w:val="008A5940"/>
    <w:rsid w:val="008A7285"/>
    <w:rsid w:val="008A73B2"/>
    <w:rsid w:val="008A7CFA"/>
    <w:rsid w:val="008B043F"/>
    <w:rsid w:val="008B0808"/>
    <w:rsid w:val="008B0AEC"/>
    <w:rsid w:val="008B0B05"/>
    <w:rsid w:val="008B1E53"/>
    <w:rsid w:val="008B1E5B"/>
    <w:rsid w:val="008B289C"/>
    <w:rsid w:val="008B2A76"/>
    <w:rsid w:val="008B2D5B"/>
    <w:rsid w:val="008B3224"/>
    <w:rsid w:val="008B3766"/>
    <w:rsid w:val="008B389D"/>
    <w:rsid w:val="008B3C5C"/>
    <w:rsid w:val="008B4F16"/>
    <w:rsid w:val="008B5299"/>
    <w:rsid w:val="008B5416"/>
    <w:rsid w:val="008B5A5F"/>
    <w:rsid w:val="008B5AB0"/>
    <w:rsid w:val="008B6054"/>
    <w:rsid w:val="008B66A0"/>
    <w:rsid w:val="008B7B08"/>
    <w:rsid w:val="008C121B"/>
    <w:rsid w:val="008C13F0"/>
    <w:rsid w:val="008C1F26"/>
    <w:rsid w:val="008C20C6"/>
    <w:rsid w:val="008C21AC"/>
    <w:rsid w:val="008C2A3A"/>
    <w:rsid w:val="008C2EFA"/>
    <w:rsid w:val="008C4C7E"/>
    <w:rsid w:val="008C562D"/>
    <w:rsid w:val="008C57C3"/>
    <w:rsid w:val="008C5A91"/>
    <w:rsid w:val="008C5B30"/>
    <w:rsid w:val="008C5C46"/>
    <w:rsid w:val="008C6184"/>
    <w:rsid w:val="008C635F"/>
    <w:rsid w:val="008C6E3C"/>
    <w:rsid w:val="008C785E"/>
    <w:rsid w:val="008D08E4"/>
    <w:rsid w:val="008D0A52"/>
    <w:rsid w:val="008D0AFB"/>
    <w:rsid w:val="008D12F7"/>
    <w:rsid w:val="008D1511"/>
    <w:rsid w:val="008D19BB"/>
    <w:rsid w:val="008D1ABE"/>
    <w:rsid w:val="008D2441"/>
    <w:rsid w:val="008D32DF"/>
    <w:rsid w:val="008D35E9"/>
    <w:rsid w:val="008D3959"/>
    <w:rsid w:val="008D3966"/>
    <w:rsid w:val="008D3CF7"/>
    <w:rsid w:val="008D4352"/>
    <w:rsid w:val="008D530D"/>
    <w:rsid w:val="008D533C"/>
    <w:rsid w:val="008D5A35"/>
    <w:rsid w:val="008D60BC"/>
    <w:rsid w:val="008D6D7B"/>
    <w:rsid w:val="008D7EB7"/>
    <w:rsid w:val="008E0516"/>
    <w:rsid w:val="008E0B6C"/>
    <w:rsid w:val="008E0DB9"/>
    <w:rsid w:val="008E0DCF"/>
    <w:rsid w:val="008E0EB8"/>
    <w:rsid w:val="008E10A6"/>
    <w:rsid w:val="008E1271"/>
    <w:rsid w:val="008E15C7"/>
    <w:rsid w:val="008E2251"/>
    <w:rsid w:val="008E24B3"/>
    <w:rsid w:val="008E24CA"/>
    <w:rsid w:val="008E28C9"/>
    <w:rsid w:val="008E2F6E"/>
    <w:rsid w:val="008E374B"/>
    <w:rsid w:val="008E38AD"/>
    <w:rsid w:val="008E3EEC"/>
    <w:rsid w:val="008E4CFB"/>
    <w:rsid w:val="008E51E4"/>
    <w:rsid w:val="008E5BF2"/>
    <w:rsid w:val="008E5C81"/>
    <w:rsid w:val="008E5DB5"/>
    <w:rsid w:val="008E61DB"/>
    <w:rsid w:val="008E6762"/>
    <w:rsid w:val="008E75E7"/>
    <w:rsid w:val="008E7BDB"/>
    <w:rsid w:val="008E7C0F"/>
    <w:rsid w:val="008F00A5"/>
    <w:rsid w:val="008F0A38"/>
    <w:rsid w:val="008F0F84"/>
    <w:rsid w:val="008F1014"/>
    <w:rsid w:val="008F11C9"/>
    <w:rsid w:val="008F23D8"/>
    <w:rsid w:val="008F2FD5"/>
    <w:rsid w:val="008F355B"/>
    <w:rsid w:val="008F37E5"/>
    <w:rsid w:val="008F3998"/>
    <w:rsid w:val="008F44ED"/>
    <w:rsid w:val="008F48C2"/>
    <w:rsid w:val="008F5840"/>
    <w:rsid w:val="008F5EEF"/>
    <w:rsid w:val="008F5F78"/>
    <w:rsid w:val="008F61A6"/>
    <w:rsid w:val="008F6262"/>
    <w:rsid w:val="008F66FE"/>
    <w:rsid w:val="008F72CC"/>
    <w:rsid w:val="008F72CD"/>
    <w:rsid w:val="009001AA"/>
    <w:rsid w:val="009004B6"/>
    <w:rsid w:val="00900885"/>
    <w:rsid w:val="009019ED"/>
    <w:rsid w:val="0090207C"/>
    <w:rsid w:val="00902140"/>
    <w:rsid w:val="00902716"/>
    <w:rsid w:val="00902AD7"/>
    <w:rsid w:val="00902D49"/>
    <w:rsid w:val="00903802"/>
    <w:rsid w:val="0090512D"/>
    <w:rsid w:val="00906423"/>
    <w:rsid w:val="0090696D"/>
    <w:rsid w:val="00906CD6"/>
    <w:rsid w:val="00906DF4"/>
    <w:rsid w:val="00906E4D"/>
    <w:rsid w:val="00906F31"/>
    <w:rsid w:val="009078B3"/>
    <w:rsid w:val="00907A77"/>
    <w:rsid w:val="00907E00"/>
    <w:rsid w:val="009107E7"/>
    <w:rsid w:val="0091088D"/>
    <w:rsid w:val="00910911"/>
    <w:rsid w:val="00910B6C"/>
    <w:rsid w:val="00910E46"/>
    <w:rsid w:val="00910FC9"/>
    <w:rsid w:val="009124BD"/>
    <w:rsid w:val="0091291A"/>
    <w:rsid w:val="00913137"/>
    <w:rsid w:val="00913612"/>
    <w:rsid w:val="0091366A"/>
    <w:rsid w:val="00913824"/>
    <w:rsid w:val="00913E50"/>
    <w:rsid w:val="00914CDC"/>
    <w:rsid w:val="00915757"/>
    <w:rsid w:val="009159B3"/>
    <w:rsid w:val="00916181"/>
    <w:rsid w:val="009161C3"/>
    <w:rsid w:val="0091762C"/>
    <w:rsid w:val="009204C5"/>
    <w:rsid w:val="00920986"/>
    <w:rsid w:val="00920B56"/>
    <w:rsid w:val="00920D87"/>
    <w:rsid w:val="00920EAF"/>
    <w:rsid w:val="00921013"/>
    <w:rsid w:val="0092180D"/>
    <w:rsid w:val="009226B4"/>
    <w:rsid w:val="009228B0"/>
    <w:rsid w:val="00922B06"/>
    <w:rsid w:val="00922B67"/>
    <w:rsid w:val="009232C9"/>
    <w:rsid w:val="00923608"/>
    <w:rsid w:val="00923847"/>
    <w:rsid w:val="009238E5"/>
    <w:rsid w:val="00923936"/>
    <w:rsid w:val="00923E87"/>
    <w:rsid w:val="00923F12"/>
    <w:rsid w:val="00924432"/>
    <w:rsid w:val="00924FF8"/>
    <w:rsid w:val="00925028"/>
    <w:rsid w:val="00925BA8"/>
    <w:rsid w:val="00925E42"/>
    <w:rsid w:val="00925F9D"/>
    <w:rsid w:val="00926068"/>
    <w:rsid w:val="00926618"/>
    <w:rsid w:val="00926DA7"/>
    <w:rsid w:val="00927F8B"/>
    <w:rsid w:val="00930859"/>
    <w:rsid w:val="0093094D"/>
    <w:rsid w:val="00930FD3"/>
    <w:rsid w:val="009312C4"/>
    <w:rsid w:val="00931651"/>
    <w:rsid w:val="009328C7"/>
    <w:rsid w:val="009336EC"/>
    <w:rsid w:val="00933C1C"/>
    <w:rsid w:val="00933F56"/>
    <w:rsid w:val="009341B1"/>
    <w:rsid w:val="0093448E"/>
    <w:rsid w:val="0093455A"/>
    <w:rsid w:val="00934582"/>
    <w:rsid w:val="00934C13"/>
    <w:rsid w:val="00935228"/>
    <w:rsid w:val="009355A2"/>
    <w:rsid w:val="009357E8"/>
    <w:rsid w:val="00935F9E"/>
    <w:rsid w:val="009364B6"/>
    <w:rsid w:val="0093651A"/>
    <w:rsid w:val="00936D98"/>
    <w:rsid w:val="00937442"/>
    <w:rsid w:val="009379DF"/>
    <w:rsid w:val="009414DC"/>
    <w:rsid w:val="00941E22"/>
    <w:rsid w:val="00942C80"/>
    <w:rsid w:val="00942DF9"/>
    <w:rsid w:val="00942E5B"/>
    <w:rsid w:val="00942FD9"/>
    <w:rsid w:val="00943197"/>
    <w:rsid w:val="009435F2"/>
    <w:rsid w:val="009438A5"/>
    <w:rsid w:val="00943BE0"/>
    <w:rsid w:val="009442A5"/>
    <w:rsid w:val="00944D44"/>
    <w:rsid w:val="00945180"/>
    <w:rsid w:val="00945526"/>
    <w:rsid w:val="0094590C"/>
    <w:rsid w:val="00946355"/>
    <w:rsid w:val="009468B7"/>
    <w:rsid w:val="00946B9B"/>
    <w:rsid w:val="00946E6A"/>
    <w:rsid w:val="0094724E"/>
    <w:rsid w:val="00947973"/>
    <w:rsid w:val="00947BE6"/>
    <w:rsid w:val="0095048D"/>
    <w:rsid w:val="009510D9"/>
    <w:rsid w:val="00951ADB"/>
    <w:rsid w:val="00951CC8"/>
    <w:rsid w:val="00952013"/>
    <w:rsid w:val="0095380C"/>
    <w:rsid w:val="00953976"/>
    <w:rsid w:val="00954353"/>
    <w:rsid w:val="00955C0A"/>
    <w:rsid w:val="00955C4F"/>
    <w:rsid w:val="0095689E"/>
    <w:rsid w:val="00956DDB"/>
    <w:rsid w:val="00960DA1"/>
    <w:rsid w:val="00961ED2"/>
    <w:rsid w:val="0096257A"/>
    <w:rsid w:val="00962988"/>
    <w:rsid w:val="009633AA"/>
    <w:rsid w:val="00964ADB"/>
    <w:rsid w:val="009657F1"/>
    <w:rsid w:val="00965DE9"/>
    <w:rsid w:val="00965FD0"/>
    <w:rsid w:val="0096625D"/>
    <w:rsid w:val="009700F6"/>
    <w:rsid w:val="009709F8"/>
    <w:rsid w:val="0097258B"/>
    <w:rsid w:val="00972929"/>
    <w:rsid w:val="00972F91"/>
    <w:rsid w:val="00973827"/>
    <w:rsid w:val="00973991"/>
    <w:rsid w:val="009742D3"/>
    <w:rsid w:val="00975533"/>
    <w:rsid w:val="009756F7"/>
    <w:rsid w:val="0097626F"/>
    <w:rsid w:val="00976568"/>
    <w:rsid w:val="00977BA7"/>
    <w:rsid w:val="0098020A"/>
    <w:rsid w:val="00980517"/>
    <w:rsid w:val="0098116C"/>
    <w:rsid w:val="0098194F"/>
    <w:rsid w:val="00982463"/>
    <w:rsid w:val="009826C8"/>
    <w:rsid w:val="009836E4"/>
    <w:rsid w:val="0098412F"/>
    <w:rsid w:val="0098550D"/>
    <w:rsid w:val="00985F28"/>
    <w:rsid w:val="00986149"/>
    <w:rsid w:val="00986176"/>
    <w:rsid w:val="00986E7F"/>
    <w:rsid w:val="00986F9A"/>
    <w:rsid w:val="00987536"/>
    <w:rsid w:val="00987A76"/>
    <w:rsid w:val="00987ADC"/>
    <w:rsid w:val="00990158"/>
    <w:rsid w:val="00990BD5"/>
    <w:rsid w:val="00990E40"/>
    <w:rsid w:val="0099196F"/>
    <w:rsid w:val="00992B98"/>
    <w:rsid w:val="0099359F"/>
    <w:rsid w:val="00994871"/>
    <w:rsid w:val="00994E08"/>
    <w:rsid w:val="009951F9"/>
    <w:rsid w:val="00995C95"/>
    <w:rsid w:val="00995E85"/>
    <w:rsid w:val="00996468"/>
    <w:rsid w:val="00996876"/>
    <w:rsid w:val="00996FFA"/>
    <w:rsid w:val="009973F1"/>
    <w:rsid w:val="009973F3"/>
    <w:rsid w:val="00997A4D"/>
    <w:rsid w:val="009A010D"/>
    <w:rsid w:val="009A0910"/>
    <w:rsid w:val="009A09A5"/>
    <w:rsid w:val="009A0C6F"/>
    <w:rsid w:val="009A14EF"/>
    <w:rsid w:val="009A2DF9"/>
    <w:rsid w:val="009A3353"/>
    <w:rsid w:val="009A3518"/>
    <w:rsid w:val="009A3A86"/>
    <w:rsid w:val="009A3A8B"/>
    <w:rsid w:val="009A4869"/>
    <w:rsid w:val="009A5208"/>
    <w:rsid w:val="009A60EF"/>
    <w:rsid w:val="009A6A6B"/>
    <w:rsid w:val="009A77D2"/>
    <w:rsid w:val="009B1EF9"/>
    <w:rsid w:val="009B26AC"/>
    <w:rsid w:val="009B2991"/>
    <w:rsid w:val="009B2C1A"/>
    <w:rsid w:val="009B37E2"/>
    <w:rsid w:val="009B4519"/>
    <w:rsid w:val="009B4571"/>
    <w:rsid w:val="009B4A32"/>
    <w:rsid w:val="009B4F11"/>
    <w:rsid w:val="009B506B"/>
    <w:rsid w:val="009B57EF"/>
    <w:rsid w:val="009B5B85"/>
    <w:rsid w:val="009B5E0B"/>
    <w:rsid w:val="009B6BD3"/>
    <w:rsid w:val="009B6D6C"/>
    <w:rsid w:val="009B7204"/>
    <w:rsid w:val="009C0074"/>
    <w:rsid w:val="009C0564"/>
    <w:rsid w:val="009C16D9"/>
    <w:rsid w:val="009C1802"/>
    <w:rsid w:val="009C195B"/>
    <w:rsid w:val="009C2685"/>
    <w:rsid w:val="009C2EEC"/>
    <w:rsid w:val="009C356A"/>
    <w:rsid w:val="009C39BC"/>
    <w:rsid w:val="009C49B4"/>
    <w:rsid w:val="009C4BC2"/>
    <w:rsid w:val="009C4CC0"/>
    <w:rsid w:val="009C4D22"/>
    <w:rsid w:val="009C58A8"/>
    <w:rsid w:val="009C67C1"/>
    <w:rsid w:val="009C6F12"/>
    <w:rsid w:val="009C6F2B"/>
    <w:rsid w:val="009C7320"/>
    <w:rsid w:val="009C75E3"/>
    <w:rsid w:val="009D0198"/>
    <w:rsid w:val="009D0729"/>
    <w:rsid w:val="009D0B67"/>
    <w:rsid w:val="009D0EA3"/>
    <w:rsid w:val="009D0F66"/>
    <w:rsid w:val="009D18B3"/>
    <w:rsid w:val="009D1A06"/>
    <w:rsid w:val="009D1BA4"/>
    <w:rsid w:val="009D1BE3"/>
    <w:rsid w:val="009D1FC4"/>
    <w:rsid w:val="009D22E4"/>
    <w:rsid w:val="009D22F7"/>
    <w:rsid w:val="009D310C"/>
    <w:rsid w:val="009D319C"/>
    <w:rsid w:val="009D36E3"/>
    <w:rsid w:val="009D45CD"/>
    <w:rsid w:val="009D49D4"/>
    <w:rsid w:val="009D53B9"/>
    <w:rsid w:val="009D574D"/>
    <w:rsid w:val="009D5BAB"/>
    <w:rsid w:val="009D6916"/>
    <w:rsid w:val="009D6A0A"/>
    <w:rsid w:val="009E058F"/>
    <w:rsid w:val="009E0A9E"/>
    <w:rsid w:val="009E0EC8"/>
    <w:rsid w:val="009E1404"/>
    <w:rsid w:val="009E19A2"/>
    <w:rsid w:val="009E1C0C"/>
    <w:rsid w:val="009E33F3"/>
    <w:rsid w:val="009E3A1B"/>
    <w:rsid w:val="009E3AFD"/>
    <w:rsid w:val="009E3CDD"/>
    <w:rsid w:val="009E3D6C"/>
    <w:rsid w:val="009E4B16"/>
    <w:rsid w:val="009E4C1E"/>
    <w:rsid w:val="009E4D97"/>
    <w:rsid w:val="009E5C60"/>
    <w:rsid w:val="009E5C76"/>
    <w:rsid w:val="009E64DB"/>
    <w:rsid w:val="009E6794"/>
    <w:rsid w:val="009E7189"/>
    <w:rsid w:val="009E7E46"/>
    <w:rsid w:val="009E7F18"/>
    <w:rsid w:val="009E7FC1"/>
    <w:rsid w:val="009F01E1"/>
    <w:rsid w:val="009F0B4D"/>
    <w:rsid w:val="009F0F2C"/>
    <w:rsid w:val="009F1096"/>
    <w:rsid w:val="009F150E"/>
    <w:rsid w:val="009F1C4E"/>
    <w:rsid w:val="009F25B5"/>
    <w:rsid w:val="009F27AD"/>
    <w:rsid w:val="009F3FB5"/>
    <w:rsid w:val="009F474B"/>
    <w:rsid w:val="009F4A96"/>
    <w:rsid w:val="009F521F"/>
    <w:rsid w:val="009F553C"/>
    <w:rsid w:val="009F59F8"/>
    <w:rsid w:val="009F6097"/>
    <w:rsid w:val="00A005B0"/>
    <w:rsid w:val="00A01219"/>
    <w:rsid w:val="00A0140A"/>
    <w:rsid w:val="00A01F17"/>
    <w:rsid w:val="00A022A5"/>
    <w:rsid w:val="00A024D4"/>
    <w:rsid w:val="00A03A22"/>
    <w:rsid w:val="00A03E62"/>
    <w:rsid w:val="00A04634"/>
    <w:rsid w:val="00A04885"/>
    <w:rsid w:val="00A04AF6"/>
    <w:rsid w:val="00A0543B"/>
    <w:rsid w:val="00A0561D"/>
    <w:rsid w:val="00A05CF4"/>
    <w:rsid w:val="00A06119"/>
    <w:rsid w:val="00A06E38"/>
    <w:rsid w:val="00A07A48"/>
    <w:rsid w:val="00A108EE"/>
    <w:rsid w:val="00A10BB8"/>
    <w:rsid w:val="00A10DB3"/>
    <w:rsid w:val="00A113D0"/>
    <w:rsid w:val="00A1200D"/>
    <w:rsid w:val="00A1206E"/>
    <w:rsid w:val="00A12C74"/>
    <w:rsid w:val="00A135FC"/>
    <w:rsid w:val="00A137E4"/>
    <w:rsid w:val="00A13871"/>
    <w:rsid w:val="00A13DEE"/>
    <w:rsid w:val="00A14813"/>
    <w:rsid w:val="00A1566A"/>
    <w:rsid w:val="00A15BE7"/>
    <w:rsid w:val="00A15E15"/>
    <w:rsid w:val="00A165BF"/>
    <w:rsid w:val="00A169EC"/>
    <w:rsid w:val="00A16C22"/>
    <w:rsid w:val="00A17068"/>
    <w:rsid w:val="00A172E8"/>
    <w:rsid w:val="00A17963"/>
    <w:rsid w:val="00A179FF"/>
    <w:rsid w:val="00A204A6"/>
    <w:rsid w:val="00A20696"/>
    <w:rsid w:val="00A20E31"/>
    <w:rsid w:val="00A21673"/>
    <w:rsid w:val="00A21A36"/>
    <w:rsid w:val="00A22473"/>
    <w:rsid w:val="00A2317D"/>
    <w:rsid w:val="00A2437A"/>
    <w:rsid w:val="00A24CDC"/>
    <w:rsid w:val="00A24FA5"/>
    <w:rsid w:val="00A25294"/>
    <w:rsid w:val="00A254EE"/>
    <w:rsid w:val="00A25BE7"/>
    <w:rsid w:val="00A27008"/>
    <w:rsid w:val="00A27CDF"/>
    <w:rsid w:val="00A309C6"/>
    <w:rsid w:val="00A30AC4"/>
    <w:rsid w:val="00A30D13"/>
    <w:rsid w:val="00A314F9"/>
    <w:rsid w:val="00A319D0"/>
    <w:rsid w:val="00A32316"/>
    <w:rsid w:val="00A32A12"/>
    <w:rsid w:val="00A33172"/>
    <w:rsid w:val="00A3432B"/>
    <w:rsid w:val="00A34367"/>
    <w:rsid w:val="00A34444"/>
    <w:rsid w:val="00A346BA"/>
    <w:rsid w:val="00A34C67"/>
    <w:rsid w:val="00A34D62"/>
    <w:rsid w:val="00A35434"/>
    <w:rsid w:val="00A35A69"/>
    <w:rsid w:val="00A3611D"/>
    <w:rsid w:val="00A36339"/>
    <w:rsid w:val="00A366E4"/>
    <w:rsid w:val="00A3675F"/>
    <w:rsid w:val="00A370D8"/>
    <w:rsid w:val="00A412CC"/>
    <w:rsid w:val="00A41C81"/>
    <w:rsid w:val="00A4376F"/>
    <w:rsid w:val="00A4503E"/>
    <w:rsid w:val="00A4504C"/>
    <w:rsid w:val="00A4515A"/>
    <w:rsid w:val="00A4534B"/>
    <w:rsid w:val="00A4549F"/>
    <w:rsid w:val="00A454B8"/>
    <w:rsid w:val="00A45B9B"/>
    <w:rsid w:val="00A460C7"/>
    <w:rsid w:val="00A462FE"/>
    <w:rsid w:val="00A46673"/>
    <w:rsid w:val="00A46916"/>
    <w:rsid w:val="00A5016F"/>
    <w:rsid w:val="00A501C9"/>
    <w:rsid w:val="00A50506"/>
    <w:rsid w:val="00A50A5E"/>
    <w:rsid w:val="00A50EDD"/>
    <w:rsid w:val="00A52A4C"/>
    <w:rsid w:val="00A5362B"/>
    <w:rsid w:val="00A53F55"/>
    <w:rsid w:val="00A5417B"/>
    <w:rsid w:val="00A54599"/>
    <w:rsid w:val="00A54B82"/>
    <w:rsid w:val="00A54E68"/>
    <w:rsid w:val="00A56759"/>
    <w:rsid w:val="00A569D4"/>
    <w:rsid w:val="00A57623"/>
    <w:rsid w:val="00A57F1A"/>
    <w:rsid w:val="00A6015A"/>
    <w:rsid w:val="00A60163"/>
    <w:rsid w:val="00A6038D"/>
    <w:rsid w:val="00A604D1"/>
    <w:rsid w:val="00A60CF0"/>
    <w:rsid w:val="00A61429"/>
    <w:rsid w:val="00A61514"/>
    <w:rsid w:val="00A61645"/>
    <w:rsid w:val="00A61802"/>
    <w:rsid w:val="00A62080"/>
    <w:rsid w:val="00A62CE6"/>
    <w:rsid w:val="00A630A2"/>
    <w:rsid w:val="00A632B8"/>
    <w:rsid w:val="00A637A6"/>
    <w:rsid w:val="00A63BF3"/>
    <w:rsid w:val="00A64942"/>
    <w:rsid w:val="00A653BF"/>
    <w:rsid w:val="00A65911"/>
    <w:rsid w:val="00A6643C"/>
    <w:rsid w:val="00A66464"/>
    <w:rsid w:val="00A66D9B"/>
    <w:rsid w:val="00A6707D"/>
    <w:rsid w:val="00A67544"/>
    <w:rsid w:val="00A705CE"/>
    <w:rsid w:val="00A7075B"/>
    <w:rsid w:val="00A70839"/>
    <w:rsid w:val="00A7170D"/>
    <w:rsid w:val="00A71CE6"/>
    <w:rsid w:val="00A71D23"/>
    <w:rsid w:val="00A71F22"/>
    <w:rsid w:val="00A72761"/>
    <w:rsid w:val="00A7333A"/>
    <w:rsid w:val="00A73A13"/>
    <w:rsid w:val="00A73D0D"/>
    <w:rsid w:val="00A74A92"/>
    <w:rsid w:val="00A75A01"/>
    <w:rsid w:val="00A75CC1"/>
    <w:rsid w:val="00A75E88"/>
    <w:rsid w:val="00A76678"/>
    <w:rsid w:val="00A772DF"/>
    <w:rsid w:val="00A775C7"/>
    <w:rsid w:val="00A779DB"/>
    <w:rsid w:val="00A80101"/>
    <w:rsid w:val="00A8056E"/>
    <w:rsid w:val="00A81C37"/>
    <w:rsid w:val="00A82D58"/>
    <w:rsid w:val="00A8321A"/>
    <w:rsid w:val="00A8399D"/>
    <w:rsid w:val="00A83E3D"/>
    <w:rsid w:val="00A8443A"/>
    <w:rsid w:val="00A8479C"/>
    <w:rsid w:val="00A84C20"/>
    <w:rsid w:val="00A8557B"/>
    <w:rsid w:val="00A85A05"/>
    <w:rsid w:val="00A86D63"/>
    <w:rsid w:val="00A8770E"/>
    <w:rsid w:val="00A87797"/>
    <w:rsid w:val="00A87959"/>
    <w:rsid w:val="00A87BF5"/>
    <w:rsid w:val="00A9020E"/>
    <w:rsid w:val="00A9055B"/>
    <w:rsid w:val="00A90900"/>
    <w:rsid w:val="00A90E72"/>
    <w:rsid w:val="00A92152"/>
    <w:rsid w:val="00A922A2"/>
    <w:rsid w:val="00A9255D"/>
    <w:rsid w:val="00A92561"/>
    <w:rsid w:val="00A92EA4"/>
    <w:rsid w:val="00A9327B"/>
    <w:rsid w:val="00A9332D"/>
    <w:rsid w:val="00A93657"/>
    <w:rsid w:val="00A93B69"/>
    <w:rsid w:val="00A94366"/>
    <w:rsid w:val="00A947F7"/>
    <w:rsid w:val="00A954A5"/>
    <w:rsid w:val="00A957E7"/>
    <w:rsid w:val="00A963C7"/>
    <w:rsid w:val="00A96714"/>
    <w:rsid w:val="00A97A8A"/>
    <w:rsid w:val="00AA09B7"/>
    <w:rsid w:val="00AA1626"/>
    <w:rsid w:val="00AA1C25"/>
    <w:rsid w:val="00AA36C4"/>
    <w:rsid w:val="00AA3CD1"/>
    <w:rsid w:val="00AA3DB7"/>
    <w:rsid w:val="00AA51F5"/>
    <w:rsid w:val="00AA5E3B"/>
    <w:rsid w:val="00AA62BB"/>
    <w:rsid w:val="00AA6884"/>
    <w:rsid w:val="00AA68B4"/>
    <w:rsid w:val="00AB0543"/>
    <w:rsid w:val="00AB0AC9"/>
    <w:rsid w:val="00AB185A"/>
    <w:rsid w:val="00AB188B"/>
    <w:rsid w:val="00AB18B4"/>
    <w:rsid w:val="00AB1BA7"/>
    <w:rsid w:val="00AB1E04"/>
    <w:rsid w:val="00AB1ED4"/>
    <w:rsid w:val="00AB27A9"/>
    <w:rsid w:val="00AB29CF"/>
    <w:rsid w:val="00AB2F5B"/>
    <w:rsid w:val="00AB3113"/>
    <w:rsid w:val="00AB348A"/>
    <w:rsid w:val="00AB3F38"/>
    <w:rsid w:val="00AB43EC"/>
    <w:rsid w:val="00AB4BF4"/>
    <w:rsid w:val="00AB4D37"/>
    <w:rsid w:val="00AB5ADF"/>
    <w:rsid w:val="00AB5BAE"/>
    <w:rsid w:val="00AB5C9A"/>
    <w:rsid w:val="00AB5DE1"/>
    <w:rsid w:val="00AB5E57"/>
    <w:rsid w:val="00AB69B2"/>
    <w:rsid w:val="00AB725F"/>
    <w:rsid w:val="00AC0705"/>
    <w:rsid w:val="00AC109B"/>
    <w:rsid w:val="00AC2291"/>
    <w:rsid w:val="00AC2D42"/>
    <w:rsid w:val="00AC3AE5"/>
    <w:rsid w:val="00AC48CA"/>
    <w:rsid w:val="00AC53D0"/>
    <w:rsid w:val="00AC6D57"/>
    <w:rsid w:val="00AC73B2"/>
    <w:rsid w:val="00AC74DA"/>
    <w:rsid w:val="00AC7A2B"/>
    <w:rsid w:val="00AC7C25"/>
    <w:rsid w:val="00AD0A51"/>
    <w:rsid w:val="00AD0B37"/>
    <w:rsid w:val="00AD11F7"/>
    <w:rsid w:val="00AD1600"/>
    <w:rsid w:val="00AD1DB7"/>
    <w:rsid w:val="00AD1EEC"/>
    <w:rsid w:val="00AD2852"/>
    <w:rsid w:val="00AD3147"/>
    <w:rsid w:val="00AD3208"/>
    <w:rsid w:val="00AD3976"/>
    <w:rsid w:val="00AD44B6"/>
    <w:rsid w:val="00AD48E8"/>
    <w:rsid w:val="00AD4D2A"/>
    <w:rsid w:val="00AD542F"/>
    <w:rsid w:val="00AD5F33"/>
    <w:rsid w:val="00AD68A1"/>
    <w:rsid w:val="00AD68CC"/>
    <w:rsid w:val="00AD6FC5"/>
    <w:rsid w:val="00AD71C5"/>
    <w:rsid w:val="00AD7305"/>
    <w:rsid w:val="00AD7E64"/>
    <w:rsid w:val="00AE0C56"/>
    <w:rsid w:val="00AE1183"/>
    <w:rsid w:val="00AE132F"/>
    <w:rsid w:val="00AE149E"/>
    <w:rsid w:val="00AE21E0"/>
    <w:rsid w:val="00AE22F2"/>
    <w:rsid w:val="00AE28D0"/>
    <w:rsid w:val="00AE29FC"/>
    <w:rsid w:val="00AE2ADE"/>
    <w:rsid w:val="00AE2B16"/>
    <w:rsid w:val="00AE2DCB"/>
    <w:rsid w:val="00AE2F3F"/>
    <w:rsid w:val="00AE3844"/>
    <w:rsid w:val="00AE3B4E"/>
    <w:rsid w:val="00AE540C"/>
    <w:rsid w:val="00AE58E7"/>
    <w:rsid w:val="00AE59EC"/>
    <w:rsid w:val="00AE602D"/>
    <w:rsid w:val="00AE62E1"/>
    <w:rsid w:val="00AE67B3"/>
    <w:rsid w:val="00AE6DE8"/>
    <w:rsid w:val="00AE7444"/>
    <w:rsid w:val="00AE7864"/>
    <w:rsid w:val="00AE7949"/>
    <w:rsid w:val="00AF01DE"/>
    <w:rsid w:val="00AF1970"/>
    <w:rsid w:val="00AF25D5"/>
    <w:rsid w:val="00AF2753"/>
    <w:rsid w:val="00AF3DBB"/>
    <w:rsid w:val="00AF496E"/>
    <w:rsid w:val="00AF5194"/>
    <w:rsid w:val="00AF53EF"/>
    <w:rsid w:val="00AF6163"/>
    <w:rsid w:val="00AF72B0"/>
    <w:rsid w:val="00AF73C3"/>
    <w:rsid w:val="00AF7503"/>
    <w:rsid w:val="00AF795C"/>
    <w:rsid w:val="00AF7D94"/>
    <w:rsid w:val="00B00752"/>
    <w:rsid w:val="00B00B21"/>
    <w:rsid w:val="00B01084"/>
    <w:rsid w:val="00B01730"/>
    <w:rsid w:val="00B026C1"/>
    <w:rsid w:val="00B02ABA"/>
    <w:rsid w:val="00B02B9C"/>
    <w:rsid w:val="00B0353B"/>
    <w:rsid w:val="00B03E8B"/>
    <w:rsid w:val="00B040B2"/>
    <w:rsid w:val="00B04AAA"/>
    <w:rsid w:val="00B05B77"/>
    <w:rsid w:val="00B0728D"/>
    <w:rsid w:val="00B10558"/>
    <w:rsid w:val="00B10B8D"/>
    <w:rsid w:val="00B142B5"/>
    <w:rsid w:val="00B147F5"/>
    <w:rsid w:val="00B14A7B"/>
    <w:rsid w:val="00B156A9"/>
    <w:rsid w:val="00B15F83"/>
    <w:rsid w:val="00B160FF"/>
    <w:rsid w:val="00B16322"/>
    <w:rsid w:val="00B1662E"/>
    <w:rsid w:val="00B16A6F"/>
    <w:rsid w:val="00B16B4D"/>
    <w:rsid w:val="00B1708B"/>
    <w:rsid w:val="00B17755"/>
    <w:rsid w:val="00B17C06"/>
    <w:rsid w:val="00B17D7E"/>
    <w:rsid w:val="00B20634"/>
    <w:rsid w:val="00B22600"/>
    <w:rsid w:val="00B22C0D"/>
    <w:rsid w:val="00B230B1"/>
    <w:rsid w:val="00B23AF4"/>
    <w:rsid w:val="00B23C13"/>
    <w:rsid w:val="00B23C15"/>
    <w:rsid w:val="00B2419C"/>
    <w:rsid w:val="00B25274"/>
    <w:rsid w:val="00B25762"/>
    <w:rsid w:val="00B25B40"/>
    <w:rsid w:val="00B25FDE"/>
    <w:rsid w:val="00B26AB0"/>
    <w:rsid w:val="00B26AD2"/>
    <w:rsid w:val="00B26CA2"/>
    <w:rsid w:val="00B30B4E"/>
    <w:rsid w:val="00B30F48"/>
    <w:rsid w:val="00B31246"/>
    <w:rsid w:val="00B31481"/>
    <w:rsid w:val="00B32313"/>
    <w:rsid w:val="00B324CD"/>
    <w:rsid w:val="00B326FF"/>
    <w:rsid w:val="00B335C3"/>
    <w:rsid w:val="00B33D12"/>
    <w:rsid w:val="00B340AA"/>
    <w:rsid w:val="00B34A9F"/>
    <w:rsid w:val="00B34B80"/>
    <w:rsid w:val="00B34C94"/>
    <w:rsid w:val="00B350D9"/>
    <w:rsid w:val="00B35CDA"/>
    <w:rsid w:val="00B362D2"/>
    <w:rsid w:val="00B37594"/>
    <w:rsid w:val="00B37A0D"/>
    <w:rsid w:val="00B37D97"/>
    <w:rsid w:val="00B40187"/>
    <w:rsid w:val="00B41165"/>
    <w:rsid w:val="00B411BD"/>
    <w:rsid w:val="00B41559"/>
    <w:rsid w:val="00B418E8"/>
    <w:rsid w:val="00B42285"/>
    <w:rsid w:val="00B4274B"/>
    <w:rsid w:val="00B435B1"/>
    <w:rsid w:val="00B4367F"/>
    <w:rsid w:val="00B438BA"/>
    <w:rsid w:val="00B43EAD"/>
    <w:rsid w:val="00B44F99"/>
    <w:rsid w:val="00B45326"/>
    <w:rsid w:val="00B45655"/>
    <w:rsid w:val="00B45743"/>
    <w:rsid w:val="00B45876"/>
    <w:rsid w:val="00B458AD"/>
    <w:rsid w:val="00B45AD5"/>
    <w:rsid w:val="00B461D2"/>
    <w:rsid w:val="00B466FE"/>
    <w:rsid w:val="00B471A4"/>
    <w:rsid w:val="00B473F7"/>
    <w:rsid w:val="00B47949"/>
    <w:rsid w:val="00B47C08"/>
    <w:rsid w:val="00B51100"/>
    <w:rsid w:val="00B514D7"/>
    <w:rsid w:val="00B5153D"/>
    <w:rsid w:val="00B51542"/>
    <w:rsid w:val="00B515E8"/>
    <w:rsid w:val="00B51D1D"/>
    <w:rsid w:val="00B52323"/>
    <w:rsid w:val="00B5310E"/>
    <w:rsid w:val="00B54ACC"/>
    <w:rsid w:val="00B54AF4"/>
    <w:rsid w:val="00B54DCB"/>
    <w:rsid w:val="00B55A98"/>
    <w:rsid w:val="00B55AC2"/>
    <w:rsid w:val="00B560C9"/>
    <w:rsid w:val="00B56533"/>
    <w:rsid w:val="00B56650"/>
    <w:rsid w:val="00B56688"/>
    <w:rsid w:val="00B56CFC"/>
    <w:rsid w:val="00B56FA8"/>
    <w:rsid w:val="00B57777"/>
    <w:rsid w:val="00B57A17"/>
    <w:rsid w:val="00B60A2C"/>
    <w:rsid w:val="00B613EB"/>
    <w:rsid w:val="00B614E8"/>
    <w:rsid w:val="00B61BE2"/>
    <w:rsid w:val="00B6258D"/>
    <w:rsid w:val="00B6266F"/>
    <w:rsid w:val="00B62E0B"/>
    <w:rsid w:val="00B63C32"/>
    <w:rsid w:val="00B643B6"/>
    <w:rsid w:val="00B64434"/>
    <w:rsid w:val="00B64A64"/>
    <w:rsid w:val="00B65854"/>
    <w:rsid w:val="00B66491"/>
    <w:rsid w:val="00B711CE"/>
    <w:rsid w:val="00B71DC8"/>
    <w:rsid w:val="00B72D56"/>
    <w:rsid w:val="00B73476"/>
    <w:rsid w:val="00B73BA8"/>
    <w:rsid w:val="00B73DCD"/>
    <w:rsid w:val="00B73F21"/>
    <w:rsid w:val="00B746C6"/>
    <w:rsid w:val="00B74EC2"/>
    <w:rsid w:val="00B7507C"/>
    <w:rsid w:val="00B7576F"/>
    <w:rsid w:val="00B7604C"/>
    <w:rsid w:val="00B7652C"/>
    <w:rsid w:val="00B765C9"/>
    <w:rsid w:val="00B7664F"/>
    <w:rsid w:val="00B766BF"/>
    <w:rsid w:val="00B76FA6"/>
    <w:rsid w:val="00B77418"/>
    <w:rsid w:val="00B8042E"/>
    <w:rsid w:val="00B80910"/>
    <w:rsid w:val="00B80EF9"/>
    <w:rsid w:val="00B818F4"/>
    <w:rsid w:val="00B81B21"/>
    <w:rsid w:val="00B81BC9"/>
    <w:rsid w:val="00B8222F"/>
    <w:rsid w:val="00B825A3"/>
    <w:rsid w:val="00B82615"/>
    <w:rsid w:val="00B82D0E"/>
    <w:rsid w:val="00B82FFC"/>
    <w:rsid w:val="00B83444"/>
    <w:rsid w:val="00B836ED"/>
    <w:rsid w:val="00B83919"/>
    <w:rsid w:val="00B84440"/>
    <w:rsid w:val="00B853BE"/>
    <w:rsid w:val="00B86476"/>
    <w:rsid w:val="00B86A3D"/>
    <w:rsid w:val="00B86D15"/>
    <w:rsid w:val="00B8727E"/>
    <w:rsid w:val="00B875C7"/>
    <w:rsid w:val="00B87D63"/>
    <w:rsid w:val="00B90585"/>
    <w:rsid w:val="00B90D10"/>
    <w:rsid w:val="00B90D6D"/>
    <w:rsid w:val="00B90FE5"/>
    <w:rsid w:val="00B911B9"/>
    <w:rsid w:val="00B919AD"/>
    <w:rsid w:val="00B91A2B"/>
    <w:rsid w:val="00B92A4E"/>
    <w:rsid w:val="00B93204"/>
    <w:rsid w:val="00B9346A"/>
    <w:rsid w:val="00B94E17"/>
    <w:rsid w:val="00B956B9"/>
    <w:rsid w:val="00B957FE"/>
    <w:rsid w:val="00B95ACB"/>
    <w:rsid w:val="00B95F02"/>
    <w:rsid w:val="00B96BEF"/>
    <w:rsid w:val="00B96FC0"/>
    <w:rsid w:val="00B97260"/>
    <w:rsid w:val="00B97A69"/>
    <w:rsid w:val="00BA0632"/>
    <w:rsid w:val="00BA0AAA"/>
    <w:rsid w:val="00BA0DFB"/>
    <w:rsid w:val="00BA2C6E"/>
    <w:rsid w:val="00BA2FEF"/>
    <w:rsid w:val="00BA34AE"/>
    <w:rsid w:val="00BA35BA"/>
    <w:rsid w:val="00BA3FA7"/>
    <w:rsid w:val="00BA4141"/>
    <w:rsid w:val="00BA46A7"/>
    <w:rsid w:val="00BA5322"/>
    <w:rsid w:val="00BA6C5F"/>
    <w:rsid w:val="00BA70EA"/>
    <w:rsid w:val="00BA7689"/>
    <w:rsid w:val="00BB0785"/>
    <w:rsid w:val="00BB0ADB"/>
    <w:rsid w:val="00BB1548"/>
    <w:rsid w:val="00BB1CE7"/>
    <w:rsid w:val="00BB2FD3"/>
    <w:rsid w:val="00BB2FDF"/>
    <w:rsid w:val="00BB2FFF"/>
    <w:rsid w:val="00BB35F2"/>
    <w:rsid w:val="00BB3F65"/>
    <w:rsid w:val="00BB3F96"/>
    <w:rsid w:val="00BB475A"/>
    <w:rsid w:val="00BB5920"/>
    <w:rsid w:val="00BB5FCB"/>
    <w:rsid w:val="00BB604B"/>
    <w:rsid w:val="00BB6A21"/>
    <w:rsid w:val="00BC00EC"/>
    <w:rsid w:val="00BC08C5"/>
    <w:rsid w:val="00BC09DD"/>
    <w:rsid w:val="00BC0EA1"/>
    <w:rsid w:val="00BC12FB"/>
    <w:rsid w:val="00BC1C3C"/>
    <w:rsid w:val="00BC247F"/>
    <w:rsid w:val="00BC307F"/>
    <w:rsid w:val="00BC3159"/>
    <w:rsid w:val="00BC31C7"/>
    <w:rsid w:val="00BC3257"/>
    <w:rsid w:val="00BC357A"/>
    <w:rsid w:val="00BC39DB"/>
    <w:rsid w:val="00BC3A32"/>
    <w:rsid w:val="00BC3B07"/>
    <w:rsid w:val="00BC46EF"/>
    <w:rsid w:val="00BC6FD6"/>
    <w:rsid w:val="00BC7449"/>
    <w:rsid w:val="00BD008E"/>
    <w:rsid w:val="00BD249A"/>
    <w:rsid w:val="00BD2AE1"/>
    <w:rsid w:val="00BD2E4B"/>
    <w:rsid w:val="00BD2F3B"/>
    <w:rsid w:val="00BD32BC"/>
    <w:rsid w:val="00BD3372"/>
    <w:rsid w:val="00BD3BEB"/>
    <w:rsid w:val="00BD410F"/>
    <w:rsid w:val="00BD4749"/>
    <w:rsid w:val="00BD4E8F"/>
    <w:rsid w:val="00BD50AA"/>
    <w:rsid w:val="00BD5135"/>
    <w:rsid w:val="00BD522C"/>
    <w:rsid w:val="00BD59D3"/>
    <w:rsid w:val="00BD7291"/>
    <w:rsid w:val="00BD7EA3"/>
    <w:rsid w:val="00BD7EEB"/>
    <w:rsid w:val="00BD7FE2"/>
    <w:rsid w:val="00BE0B19"/>
    <w:rsid w:val="00BE0DD8"/>
    <w:rsid w:val="00BE13F0"/>
    <w:rsid w:val="00BE15C1"/>
    <w:rsid w:val="00BE1D82"/>
    <w:rsid w:val="00BE1EE4"/>
    <w:rsid w:val="00BE1F8B"/>
    <w:rsid w:val="00BE2B4F"/>
    <w:rsid w:val="00BE2F39"/>
    <w:rsid w:val="00BE3227"/>
    <w:rsid w:val="00BE332D"/>
    <w:rsid w:val="00BE3578"/>
    <w:rsid w:val="00BE3582"/>
    <w:rsid w:val="00BE36E6"/>
    <w:rsid w:val="00BE3CF1"/>
    <w:rsid w:val="00BE4B20"/>
    <w:rsid w:val="00BE55F1"/>
    <w:rsid w:val="00BE5FC4"/>
    <w:rsid w:val="00BE68DB"/>
    <w:rsid w:val="00BE7742"/>
    <w:rsid w:val="00BE78DA"/>
    <w:rsid w:val="00BE7C4D"/>
    <w:rsid w:val="00BE7F6A"/>
    <w:rsid w:val="00BF0274"/>
    <w:rsid w:val="00BF08C4"/>
    <w:rsid w:val="00BF0BAF"/>
    <w:rsid w:val="00BF10FE"/>
    <w:rsid w:val="00BF19CE"/>
    <w:rsid w:val="00BF2B6F"/>
    <w:rsid w:val="00BF3220"/>
    <w:rsid w:val="00BF351A"/>
    <w:rsid w:val="00BF3914"/>
    <w:rsid w:val="00BF4151"/>
    <w:rsid w:val="00BF49B1"/>
    <w:rsid w:val="00BF4E43"/>
    <w:rsid w:val="00BF54A0"/>
    <w:rsid w:val="00BF5552"/>
    <w:rsid w:val="00BF6D36"/>
    <w:rsid w:val="00BF73F2"/>
    <w:rsid w:val="00BF7B3C"/>
    <w:rsid w:val="00C009A3"/>
    <w:rsid w:val="00C010E8"/>
    <w:rsid w:val="00C012CF"/>
    <w:rsid w:val="00C0164C"/>
    <w:rsid w:val="00C01671"/>
    <w:rsid w:val="00C020C3"/>
    <w:rsid w:val="00C02419"/>
    <w:rsid w:val="00C02766"/>
    <w:rsid w:val="00C03EE8"/>
    <w:rsid w:val="00C04535"/>
    <w:rsid w:val="00C0457A"/>
    <w:rsid w:val="00C05BEC"/>
    <w:rsid w:val="00C06E7D"/>
    <w:rsid w:val="00C07B8D"/>
    <w:rsid w:val="00C07DE5"/>
    <w:rsid w:val="00C10323"/>
    <w:rsid w:val="00C108B6"/>
    <w:rsid w:val="00C1112B"/>
    <w:rsid w:val="00C11A88"/>
    <w:rsid w:val="00C12012"/>
    <w:rsid w:val="00C12709"/>
    <w:rsid w:val="00C12874"/>
    <w:rsid w:val="00C12BC1"/>
    <w:rsid w:val="00C13BDA"/>
    <w:rsid w:val="00C13FFD"/>
    <w:rsid w:val="00C14632"/>
    <w:rsid w:val="00C15A86"/>
    <w:rsid w:val="00C15EDB"/>
    <w:rsid w:val="00C1606B"/>
    <w:rsid w:val="00C160F0"/>
    <w:rsid w:val="00C164C4"/>
    <w:rsid w:val="00C16C30"/>
    <w:rsid w:val="00C17C22"/>
    <w:rsid w:val="00C20A00"/>
    <w:rsid w:val="00C21673"/>
    <w:rsid w:val="00C219A9"/>
    <w:rsid w:val="00C21C7A"/>
    <w:rsid w:val="00C21E23"/>
    <w:rsid w:val="00C21E96"/>
    <w:rsid w:val="00C2208F"/>
    <w:rsid w:val="00C23130"/>
    <w:rsid w:val="00C2452C"/>
    <w:rsid w:val="00C25221"/>
    <w:rsid w:val="00C255A5"/>
    <w:rsid w:val="00C2584B"/>
    <w:rsid w:val="00C25942"/>
    <w:rsid w:val="00C25DD9"/>
    <w:rsid w:val="00C2663F"/>
    <w:rsid w:val="00C26A2B"/>
    <w:rsid w:val="00C26DB8"/>
    <w:rsid w:val="00C3400F"/>
    <w:rsid w:val="00C340C6"/>
    <w:rsid w:val="00C34B64"/>
    <w:rsid w:val="00C34C36"/>
    <w:rsid w:val="00C34C44"/>
    <w:rsid w:val="00C3513C"/>
    <w:rsid w:val="00C352B3"/>
    <w:rsid w:val="00C356BF"/>
    <w:rsid w:val="00C3654C"/>
    <w:rsid w:val="00C3684E"/>
    <w:rsid w:val="00C36BF5"/>
    <w:rsid w:val="00C36C3F"/>
    <w:rsid w:val="00C36DBC"/>
    <w:rsid w:val="00C374F9"/>
    <w:rsid w:val="00C376BA"/>
    <w:rsid w:val="00C40153"/>
    <w:rsid w:val="00C40373"/>
    <w:rsid w:val="00C4082D"/>
    <w:rsid w:val="00C40AE6"/>
    <w:rsid w:val="00C411AF"/>
    <w:rsid w:val="00C4138D"/>
    <w:rsid w:val="00C41E3A"/>
    <w:rsid w:val="00C427AA"/>
    <w:rsid w:val="00C4304C"/>
    <w:rsid w:val="00C43315"/>
    <w:rsid w:val="00C44CDD"/>
    <w:rsid w:val="00C44F98"/>
    <w:rsid w:val="00C452F5"/>
    <w:rsid w:val="00C46555"/>
    <w:rsid w:val="00C46B15"/>
    <w:rsid w:val="00C46F7D"/>
    <w:rsid w:val="00C479B5"/>
    <w:rsid w:val="00C47B60"/>
    <w:rsid w:val="00C47BA1"/>
    <w:rsid w:val="00C50242"/>
    <w:rsid w:val="00C5034D"/>
    <w:rsid w:val="00C5050E"/>
    <w:rsid w:val="00C50E99"/>
    <w:rsid w:val="00C52744"/>
    <w:rsid w:val="00C531EB"/>
    <w:rsid w:val="00C53ADE"/>
    <w:rsid w:val="00C53EB3"/>
    <w:rsid w:val="00C53FC9"/>
    <w:rsid w:val="00C542CA"/>
    <w:rsid w:val="00C542D4"/>
    <w:rsid w:val="00C54D71"/>
    <w:rsid w:val="00C55B01"/>
    <w:rsid w:val="00C563F5"/>
    <w:rsid w:val="00C56498"/>
    <w:rsid w:val="00C56D23"/>
    <w:rsid w:val="00C570F7"/>
    <w:rsid w:val="00C6027B"/>
    <w:rsid w:val="00C6097A"/>
    <w:rsid w:val="00C60E61"/>
    <w:rsid w:val="00C61062"/>
    <w:rsid w:val="00C61799"/>
    <w:rsid w:val="00C623FE"/>
    <w:rsid w:val="00C62810"/>
    <w:rsid w:val="00C62BD4"/>
    <w:rsid w:val="00C62CD5"/>
    <w:rsid w:val="00C62FB9"/>
    <w:rsid w:val="00C636E6"/>
    <w:rsid w:val="00C639D6"/>
    <w:rsid w:val="00C63F16"/>
    <w:rsid w:val="00C63F8E"/>
    <w:rsid w:val="00C64161"/>
    <w:rsid w:val="00C647FB"/>
    <w:rsid w:val="00C64FB6"/>
    <w:rsid w:val="00C654E0"/>
    <w:rsid w:val="00C655ED"/>
    <w:rsid w:val="00C6589E"/>
    <w:rsid w:val="00C65BFF"/>
    <w:rsid w:val="00C65C5D"/>
    <w:rsid w:val="00C66A3E"/>
    <w:rsid w:val="00C670F1"/>
    <w:rsid w:val="00C67676"/>
    <w:rsid w:val="00C679D3"/>
    <w:rsid w:val="00C67EAB"/>
    <w:rsid w:val="00C70DFF"/>
    <w:rsid w:val="00C72311"/>
    <w:rsid w:val="00C726FE"/>
    <w:rsid w:val="00C727B6"/>
    <w:rsid w:val="00C72E6F"/>
    <w:rsid w:val="00C73B4F"/>
    <w:rsid w:val="00C74027"/>
    <w:rsid w:val="00C74811"/>
    <w:rsid w:val="00C75A6B"/>
    <w:rsid w:val="00C763B6"/>
    <w:rsid w:val="00C7644F"/>
    <w:rsid w:val="00C768F6"/>
    <w:rsid w:val="00C77117"/>
    <w:rsid w:val="00C77D3C"/>
    <w:rsid w:val="00C77F23"/>
    <w:rsid w:val="00C80073"/>
    <w:rsid w:val="00C80DEA"/>
    <w:rsid w:val="00C819EA"/>
    <w:rsid w:val="00C826D8"/>
    <w:rsid w:val="00C82B6A"/>
    <w:rsid w:val="00C832DC"/>
    <w:rsid w:val="00C833DA"/>
    <w:rsid w:val="00C8377F"/>
    <w:rsid w:val="00C843BA"/>
    <w:rsid w:val="00C84547"/>
    <w:rsid w:val="00C8646D"/>
    <w:rsid w:val="00C86A62"/>
    <w:rsid w:val="00C86FEE"/>
    <w:rsid w:val="00C87455"/>
    <w:rsid w:val="00C900CD"/>
    <w:rsid w:val="00C90B92"/>
    <w:rsid w:val="00C913CA"/>
    <w:rsid w:val="00C91C13"/>
    <w:rsid w:val="00C91DE3"/>
    <w:rsid w:val="00C923AF"/>
    <w:rsid w:val="00C92C7F"/>
    <w:rsid w:val="00C9330E"/>
    <w:rsid w:val="00C9369D"/>
    <w:rsid w:val="00C93B84"/>
    <w:rsid w:val="00C944FA"/>
    <w:rsid w:val="00C949D3"/>
    <w:rsid w:val="00C94A9D"/>
    <w:rsid w:val="00C9535A"/>
    <w:rsid w:val="00C95854"/>
    <w:rsid w:val="00C95861"/>
    <w:rsid w:val="00C95EFF"/>
    <w:rsid w:val="00C96E6F"/>
    <w:rsid w:val="00C96E9B"/>
    <w:rsid w:val="00C970AA"/>
    <w:rsid w:val="00C97872"/>
    <w:rsid w:val="00CA0532"/>
    <w:rsid w:val="00CA0566"/>
    <w:rsid w:val="00CA0C22"/>
    <w:rsid w:val="00CA13AF"/>
    <w:rsid w:val="00CA17D9"/>
    <w:rsid w:val="00CA21E6"/>
    <w:rsid w:val="00CA2241"/>
    <w:rsid w:val="00CA27FD"/>
    <w:rsid w:val="00CA304A"/>
    <w:rsid w:val="00CA3259"/>
    <w:rsid w:val="00CA34AF"/>
    <w:rsid w:val="00CA35D0"/>
    <w:rsid w:val="00CA3970"/>
    <w:rsid w:val="00CA3CDD"/>
    <w:rsid w:val="00CA403B"/>
    <w:rsid w:val="00CA418B"/>
    <w:rsid w:val="00CA4F50"/>
    <w:rsid w:val="00CA505A"/>
    <w:rsid w:val="00CA59DD"/>
    <w:rsid w:val="00CA7198"/>
    <w:rsid w:val="00CA7937"/>
    <w:rsid w:val="00CB008E"/>
    <w:rsid w:val="00CB01FA"/>
    <w:rsid w:val="00CB0737"/>
    <w:rsid w:val="00CB097A"/>
    <w:rsid w:val="00CB26EC"/>
    <w:rsid w:val="00CB2C6D"/>
    <w:rsid w:val="00CB2D2A"/>
    <w:rsid w:val="00CB329A"/>
    <w:rsid w:val="00CB430F"/>
    <w:rsid w:val="00CB53F3"/>
    <w:rsid w:val="00CB5B1E"/>
    <w:rsid w:val="00CB683C"/>
    <w:rsid w:val="00CB7346"/>
    <w:rsid w:val="00CB787A"/>
    <w:rsid w:val="00CB7B01"/>
    <w:rsid w:val="00CC0C4A"/>
    <w:rsid w:val="00CC0C7E"/>
    <w:rsid w:val="00CC17F0"/>
    <w:rsid w:val="00CC1853"/>
    <w:rsid w:val="00CC1DDB"/>
    <w:rsid w:val="00CC1E0A"/>
    <w:rsid w:val="00CC1FAE"/>
    <w:rsid w:val="00CC38F6"/>
    <w:rsid w:val="00CC3A23"/>
    <w:rsid w:val="00CC52A2"/>
    <w:rsid w:val="00CC6A93"/>
    <w:rsid w:val="00CC701B"/>
    <w:rsid w:val="00CC737C"/>
    <w:rsid w:val="00CC7792"/>
    <w:rsid w:val="00CC7AFA"/>
    <w:rsid w:val="00CD0611"/>
    <w:rsid w:val="00CD087D"/>
    <w:rsid w:val="00CD08A3"/>
    <w:rsid w:val="00CD0A7F"/>
    <w:rsid w:val="00CD0F5D"/>
    <w:rsid w:val="00CD1857"/>
    <w:rsid w:val="00CD199E"/>
    <w:rsid w:val="00CD1C0B"/>
    <w:rsid w:val="00CD239A"/>
    <w:rsid w:val="00CD262E"/>
    <w:rsid w:val="00CD2E36"/>
    <w:rsid w:val="00CD3555"/>
    <w:rsid w:val="00CD3AEF"/>
    <w:rsid w:val="00CD42DC"/>
    <w:rsid w:val="00CD539D"/>
    <w:rsid w:val="00CD5512"/>
    <w:rsid w:val="00CD62D6"/>
    <w:rsid w:val="00CD6630"/>
    <w:rsid w:val="00CD6E3D"/>
    <w:rsid w:val="00CD71AB"/>
    <w:rsid w:val="00CE0109"/>
    <w:rsid w:val="00CE1FC5"/>
    <w:rsid w:val="00CE2D26"/>
    <w:rsid w:val="00CE45D5"/>
    <w:rsid w:val="00CE46E5"/>
    <w:rsid w:val="00CE485A"/>
    <w:rsid w:val="00CE5279"/>
    <w:rsid w:val="00CE57B1"/>
    <w:rsid w:val="00CE5A78"/>
    <w:rsid w:val="00CE643C"/>
    <w:rsid w:val="00CE78AE"/>
    <w:rsid w:val="00CE7AD3"/>
    <w:rsid w:val="00CE7E62"/>
    <w:rsid w:val="00CF051E"/>
    <w:rsid w:val="00CF195E"/>
    <w:rsid w:val="00CF19DA"/>
    <w:rsid w:val="00CF1C7F"/>
    <w:rsid w:val="00CF1CC0"/>
    <w:rsid w:val="00CF24F8"/>
    <w:rsid w:val="00CF2653"/>
    <w:rsid w:val="00CF33FC"/>
    <w:rsid w:val="00CF4247"/>
    <w:rsid w:val="00CF4946"/>
    <w:rsid w:val="00CF5263"/>
    <w:rsid w:val="00CF589F"/>
    <w:rsid w:val="00CF60B5"/>
    <w:rsid w:val="00CF7133"/>
    <w:rsid w:val="00CF714B"/>
    <w:rsid w:val="00CF7EDC"/>
    <w:rsid w:val="00D004FA"/>
    <w:rsid w:val="00D0077D"/>
    <w:rsid w:val="00D01258"/>
    <w:rsid w:val="00D01440"/>
    <w:rsid w:val="00D01B21"/>
    <w:rsid w:val="00D01DAD"/>
    <w:rsid w:val="00D01E2F"/>
    <w:rsid w:val="00D01E4A"/>
    <w:rsid w:val="00D02006"/>
    <w:rsid w:val="00D03102"/>
    <w:rsid w:val="00D03727"/>
    <w:rsid w:val="00D03740"/>
    <w:rsid w:val="00D0378A"/>
    <w:rsid w:val="00D03B84"/>
    <w:rsid w:val="00D05132"/>
    <w:rsid w:val="00D05A4D"/>
    <w:rsid w:val="00D05EA9"/>
    <w:rsid w:val="00D06DE0"/>
    <w:rsid w:val="00D071F8"/>
    <w:rsid w:val="00D07252"/>
    <w:rsid w:val="00D074F4"/>
    <w:rsid w:val="00D07A65"/>
    <w:rsid w:val="00D07CE1"/>
    <w:rsid w:val="00D1026A"/>
    <w:rsid w:val="00D107CF"/>
    <w:rsid w:val="00D11B0B"/>
    <w:rsid w:val="00D12293"/>
    <w:rsid w:val="00D12E39"/>
    <w:rsid w:val="00D13C14"/>
    <w:rsid w:val="00D13CBD"/>
    <w:rsid w:val="00D14236"/>
    <w:rsid w:val="00D14553"/>
    <w:rsid w:val="00D14DB1"/>
    <w:rsid w:val="00D15F43"/>
    <w:rsid w:val="00D161A5"/>
    <w:rsid w:val="00D166B3"/>
    <w:rsid w:val="00D16E87"/>
    <w:rsid w:val="00D17868"/>
    <w:rsid w:val="00D17FC2"/>
    <w:rsid w:val="00D20073"/>
    <w:rsid w:val="00D207FE"/>
    <w:rsid w:val="00D20B8B"/>
    <w:rsid w:val="00D20D0D"/>
    <w:rsid w:val="00D2162C"/>
    <w:rsid w:val="00D21A3C"/>
    <w:rsid w:val="00D233F1"/>
    <w:rsid w:val="00D23627"/>
    <w:rsid w:val="00D236DD"/>
    <w:rsid w:val="00D2538A"/>
    <w:rsid w:val="00D256F8"/>
    <w:rsid w:val="00D25B9F"/>
    <w:rsid w:val="00D2685C"/>
    <w:rsid w:val="00D268E2"/>
    <w:rsid w:val="00D26A08"/>
    <w:rsid w:val="00D26A3B"/>
    <w:rsid w:val="00D26D10"/>
    <w:rsid w:val="00D270F8"/>
    <w:rsid w:val="00D27248"/>
    <w:rsid w:val="00D27F48"/>
    <w:rsid w:val="00D302FD"/>
    <w:rsid w:val="00D3038A"/>
    <w:rsid w:val="00D30522"/>
    <w:rsid w:val="00D3098D"/>
    <w:rsid w:val="00D30D4B"/>
    <w:rsid w:val="00D31749"/>
    <w:rsid w:val="00D31A02"/>
    <w:rsid w:val="00D32BA0"/>
    <w:rsid w:val="00D3323C"/>
    <w:rsid w:val="00D33456"/>
    <w:rsid w:val="00D3396F"/>
    <w:rsid w:val="00D33D4D"/>
    <w:rsid w:val="00D34A0B"/>
    <w:rsid w:val="00D34A97"/>
    <w:rsid w:val="00D3538E"/>
    <w:rsid w:val="00D36234"/>
    <w:rsid w:val="00D36354"/>
    <w:rsid w:val="00D36371"/>
    <w:rsid w:val="00D3675D"/>
    <w:rsid w:val="00D36DFA"/>
    <w:rsid w:val="00D37190"/>
    <w:rsid w:val="00D375C4"/>
    <w:rsid w:val="00D37675"/>
    <w:rsid w:val="00D40F6F"/>
    <w:rsid w:val="00D411B3"/>
    <w:rsid w:val="00D41302"/>
    <w:rsid w:val="00D417DF"/>
    <w:rsid w:val="00D430EE"/>
    <w:rsid w:val="00D43181"/>
    <w:rsid w:val="00D437D8"/>
    <w:rsid w:val="00D44944"/>
    <w:rsid w:val="00D44994"/>
    <w:rsid w:val="00D45553"/>
    <w:rsid w:val="00D45DF3"/>
    <w:rsid w:val="00D46174"/>
    <w:rsid w:val="00D47A1D"/>
    <w:rsid w:val="00D47DD0"/>
    <w:rsid w:val="00D50183"/>
    <w:rsid w:val="00D50F65"/>
    <w:rsid w:val="00D51D12"/>
    <w:rsid w:val="00D525F7"/>
    <w:rsid w:val="00D5362B"/>
    <w:rsid w:val="00D53722"/>
    <w:rsid w:val="00D53D6B"/>
    <w:rsid w:val="00D55072"/>
    <w:rsid w:val="00D551B5"/>
    <w:rsid w:val="00D555B3"/>
    <w:rsid w:val="00D5566A"/>
    <w:rsid w:val="00D566DE"/>
    <w:rsid w:val="00D56C2E"/>
    <w:rsid w:val="00D56DB2"/>
    <w:rsid w:val="00D5747F"/>
    <w:rsid w:val="00D57495"/>
    <w:rsid w:val="00D574FA"/>
    <w:rsid w:val="00D6045E"/>
    <w:rsid w:val="00D60C8D"/>
    <w:rsid w:val="00D61070"/>
    <w:rsid w:val="00D61374"/>
    <w:rsid w:val="00D6168A"/>
    <w:rsid w:val="00D616A5"/>
    <w:rsid w:val="00D61CF0"/>
    <w:rsid w:val="00D61E69"/>
    <w:rsid w:val="00D61FF0"/>
    <w:rsid w:val="00D6211D"/>
    <w:rsid w:val="00D62B2A"/>
    <w:rsid w:val="00D62B9B"/>
    <w:rsid w:val="00D62C97"/>
    <w:rsid w:val="00D63517"/>
    <w:rsid w:val="00D63B75"/>
    <w:rsid w:val="00D63B89"/>
    <w:rsid w:val="00D63F3C"/>
    <w:rsid w:val="00D644A4"/>
    <w:rsid w:val="00D64FD4"/>
    <w:rsid w:val="00D656EE"/>
    <w:rsid w:val="00D6584E"/>
    <w:rsid w:val="00D659B1"/>
    <w:rsid w:val="00D66B82"/>
    <w:rsid w:val="00D66C78"/>
    <w:rsid w:val="00D66E18"/>
    <w:rsid w:val="00D6734D"/>
    <w:rsid w:val="00D67761"/>
    <w:rsid w:val="00D679CF"/>
    <w:rsid w:val="00D679D3"/>
    <w:rsid w:val="00D70CC3"/>
    <w:rsid w:val="00D71F46"/>
    <w:rsid w:val="00D71FE4"/>
    <w:rsid w:val="00D731FA"/>
    <w:rsid w:val="00D7356F"/>
    <w:rsid w:val="00D73587"/>
    <w:rsid w:val="00D7361F"/>
    <w:rsid w:val="00D73EBB"/>
    <w:rsid w:val="00D74A85"/>
    <w:rsid w:val="00D74C74"/>
    <w:rsid w:val="00D751FB"/>
    <w:rsid w:val="00D754D6"/>
    <w:rsid w:val="00D761AA"/>
    <w:rsid w:val="00D76FAE"/>
    <w:rsid w:val="00D777D7"/>
    <w:rsid w:val="00D77C73"/>
    <w:rsid w:val="00D80AB8"/>
    <w:rsid w:val="00D80D97"/>
    <w:rsid w:val="00D81792"/>
    <w:rsid w:val="00D819B1"/>
    <w:rsid w:val="00D82494"/>
    <w:rsid w:val="00D82919"/>
    <w:rsid w:val="00D82A27"/>
    <w:rsid w:val="00D83AE9"/>
    <w:rsid w:val="00D854A3"/>
    <w:rsid w:val="00D85792"/>
    <w:rsid w:val="00D857B8"/>
    <w:rsid w:val="00D86351"/>
    <w:rsid w:val="00D86A09"/>
    <w:rsid w:val="00D87175"/>
    <w:rsid w:val="00D878BE"/>
    <w:rsid w:val="00D87ABF"/>
    <w:rsid w:val="00D87E5B"/>
    <w:rsid w:val="00D906FF"/>
    <w:rsid w:val="00D90CD3"/>
    <w:rsid w:val="00D919E6"/>
    <w:rsid w:val="00D91BE1"/>
    <w:rsid w:val="00D91D7D"/>
    <w:rsid w:val="00D92C29"/>
    <w:rsid w:val="00D9304D"/>
    <w:rsid w:val="00D936E2"/>
    <w:rsid w:val="00D95104"/>
    <w:rsid w:val="00D953AD"/>
    <w:rsid w:val="00D95600"/>
    <w:rsid w:val="00D95960"/>
    <w:rsid w:val="00D95ADC"/>
    <w:rsid w:val="00D9683C"/>
    <w:rsid w:val="00D96C48"/>
    <w:rsid w:val="00D975C1"/>
    <w:rsid w:val="00D97884"/>
    <w:rsid w:val="00DA0845"/>
    <w:rsid w:val="00DA0A7F"/>
    <w:rsid w:val="00DA11D7"/>
    <w:rsid w:val="00DA16E4"/>
    <w:rsid w:val="00DA1C31"/>
    <w:rsid w:val="00DA20BC"/>
    <w:rsid w:val="00DA2ED7"/>
    <w:rsid w:val="00DA31B6"/>
    <w:rsid w:val="00DA3E7A"/>
    <w:rsid w:val="00DA430C"/>
    <w:rsid w:val="00DA465B"/>
    <w:rsid w:val="00DA4DD5"/>
    <w:rsid w:val="00DA5C9F"/>
    <w:rsid w:val="00DA615D"/>
    <w:rsid w:val="00DA6598"/>
    <w:rsid w:val="00DA6C0F"/>
    <w:rsid w:val="00DA702F"/>
    <w:rsid w:val="00DA70EB"/>
    <w:rsid w:val="00DA7D4C"/>
    <w:rsid w:val="00DA7F8A"/>
    <w:rsid w:val="00DB0176"/>
    <w:rsid w:val="00DB0404"/>
    <w:rsid w:val="00DB0AF7"/>
    <w:rsid w:val="00DB0D77"/>
    <w:rsid w:val="00DB11F8"/>
    <w:rsid w:val="00DB18F8"/>
    <w:rsid w:val="00DB1AE5"/>
    <w:rsid w:val="00DB1F2A"/>
    <w:rsid w:val="00DB26D2"/>
    <w:rsid w:val="00DB297F"/>
    <w:rsid w:val="00DB2B61"/>
    <w:rsid w:val="00DB3153"/>
    <w:rsid w:val="00DB317A"/>
    <w:rsid w:val="00DB3704"/>
    <w:rsid w:val="00DB3B82"/>
    <w:rsid w:val="00DB3F0B"/>
    <w:rsid w:val="00DB485D"/>
    <w:rsid w:val="00DB5932"/>
    <w:rsid w:val="00DB6169"/>
    <w:rsid w:val="00DB6E09"/>
    <w:rsid w:val="00DB6FCD"/>
    <w:rsid w:val="00DB6FF5"/>
    <w:rsid w:val="00DB7BF5"/>
    <w:rsid w:val="00DC0052"/>
    <w:rsid w:val="00DC079B"/>
    <w:rsid w:val="00DC1070"/>
    <w:rsid w:val="00DC1327"/>
    <w:rsid w:val="00DC1350"/>
    <w:rsid w:val="00DC148D"/>
    <w:rsid w:val="00DC1A7C"/>
    <w:rsid w:val="00DC2E02"/>
    <w:rsid w:val="00DC3237"/>
    <w:rsid w:val="00DC41A4"/>
    <w:rsid w:val="00DC5672"/>
    <w:rsid w:val="00DC60A2"/>
    <w:rsid w:val="00DC60CF"/>
    <w:rsid w:val="00DC6436"/>
    <w:rsid w:val="00DC6600"/>
    <w:rsid w:val="00DC67BD"/>
    <w:rsid w:val="00DC6924"/>
    <w:rsid w:val="00DC6C2F"/>
    <w:rsid w:val="00DC71F2"/>
    <w:rsid w:val="00DD1B7A"/>
    <w:rsid w:val="00DD2025"/>
    <w:rsid w:val="00DD22EA"/>
    <w:rsid w:val="00DD23A0"/>
    <w:rsid w:val="00DD3143"/>
    <w:rsid w:val="00DD3EF5"/>
    <w:rsid w:val="00DD4122"/>
    <w:rsid w:val="00DD463F"/>
    <w:rsid w:val="00DD53FA"/>
    <w:rsid w:val="00DD5594"/>
    <w:rsid w:val="00DD5F42"/>
    <w:rsid w:val="00DD617B"/>
    <w:rsid w:val="00DD6C7D"/>
    <w:rsid w:val="00DE07A2"/>
    <w:rsid w:val="00DE0E59"/>
    <w:rsid w:val="00DE0F6C"/>
    <w:rsid w:val="00DE1B45"/>
    <w:rsid w:val="00DE1EB4"/>
    <w:rsid w:val="00DE219B"/>
    <w:rsid w:val="00DE2CE1"/>
    <w:rsid w:val="00DE3F2B"/>
    <w:rsid w:val="00DE4FB1"/>
    <w:rsid w:val="00DE52E3"/>
    <w:rsid w:val="00DE5705"/>
    <w:rsid w:val="00DE5CA4"/>
    <w:rsid w:val="00DE6530"/>
    <w:rsid w:val="00DE7109"/>
    <w:rsid w:val="00DE7C00"/>
    <w:rsid w:val="00DF0048"/>
    <w:rsid w:val="00DF03E9"/>
    <w:rsid w:val="00DF03ED"/>
    <w:rsid w:val="00DF04EE"/>
    <w:rsid w:val="00DF0BF4"/>
    <w:rsid w:val="00DF179D"/>
    <w:rsid w:val="00DF1D0A"/>
    <w:rsid w:val="00DF1E9C"/>
    <w:rsid w:val="00DF30BF"/>
    <w:rsid w:val="00DF35CB"/>
    <w:rsid w:val="00DF37A5"/>
    <w:rsid w:val="00DF3ACF"/>
    <w:rsid w:val="00DF4398"/>
    <w:rsid w:val="00DF4572"/>
    <w:rsid w:val="00DF4658"/>
    <w:rsid w:val="00DF6C8B"/>
    <w:rsid w:val="00DF6F17"/>
    <w:rsid w:val="00DF7858"/>
    <w:rsid w:val="00DF78FA"/>
    <w:rsid w:val="00DF7A1E"/>
    <w:rsid w:val="00E002F1"/>
    <w:rsid w:val="00E0082C"/>
    <w:rsid w:val="00E00CA2"/>
    <w:rsid w:val="00E0125D"/>
    <w:rsid w:val="00E0127A"/>
    <w:rsid w:val="00E0138F"/>
    <w:rsid w:val="00E01DAA"/>
    <w:rsid w:val="00E023E5"/>
    <w:rsid w:val="00E02432"/>
    <w:rsid w:val="00E030F5"/>
    <w:rsid w:val="00E03321"/>
    <w:rsid w:val="00E04022"/>
    <w:rsid w:val="00E041E5"/>
    <w:rsid w:val="00E04930"/>
    <w:rsid w:val="00E05C31"/>
    <w:rsid w:val="00E06C76"/>
    <w:rsid w:val="00E0728F"/>
    <w:rsid w:val="00E0755C"/>
    <w:rsid w:val="00E11923"/>
    <w:rsid w:val="00E125D6"/>
    <w:rsid w:val="00E12F5F"/>
    <w:rsid w:val="00E14A7E"/>
    <w:rsid w:val="00E14D01"/>
    <w:rsid w:val="00E151E1"/>
    <w:rsid w:val="00E16541"/>
    <w:rsid w:val="00E16D35"/>
    <w:rsid w:val="00E17619"/>
    <w:rsid w:val="00E17805"/>
    <w:rsid w:val="00E203DC"/>
    <w:rsid w:val="00E20668"/>
    <w:rsid w:val="00E20ACF"/>
    <w:rsid w:val="00E20BBA"/>
    <w:rsid w:val="00E20F79"/>
    <w:rsid w:val="00E21278"/>
    <w:rsid w:val="00E2150C"/>
    <w:rsid w:val="00E2155E"/>
    <w:rsid w:val="00E22CCD"/>
    <w:rsid w:val="00E22D5C"/>
    <w:rsid w:val="00E22F78"/>
    <w:rsid w:val="00E236E1"/>
    <w:rsid w:val="00E23A11"/>
    <w:rsid w:val="00E23FB7"/>
    <w:rsid w:val="00E24A27"/>
    <w:rsid w:val="00E258B3"/>
    <w:rsid w:val="00E25F89"/>
    <w:rsid w:val="00E26150"/>
    <w:rsid w:val="00E30082"/>
    <w:rsid w:val="00E30E45"/>
    <w:rsid w:val="00E31492"/>
    <w:rsid w:val="00E32138"/>
    <w:rsid w:val="00E32D62"/>
    <w:rsid w:val="00E339DC"/>
    <w:rsid w:val="00E33E15"/>
    <w:rsid w:val="00E33E38"/>
    <w:rsid w:val="00E358B3"/>
    <w:rsid w:val="00E35A5B"/>
    <w:rsid w:val="00E361B8"/>
    <w:rsid w:val="00E36A1B"/>
    <w:rsid w:val="00E36EAD"/>
    <w:rsid w:val="00E40AC5"/>
    <w:rsid w:val="00E40F4B"/>
    <w:rsid w:val="00E41CB2"/>
    <w:rsid w:val="00E41D02"/>
    <w:rsid w:val="00E423B4"/>
    <w:rsid w:val="00E429ED"/>
    <w:rsid w:val="00E43F37"/>
    <w:rsid w:val="00E44774"/>
    <w:rsid w:val="00E450ED"/>
    <w:rsid w:val="00E45980"/>
    <w:rsid w:val="00E45C32"/>
    <w:rsid w:val="00E46D28"/>
    <w:rsid w:val="00E476BA"/>
    <w:rsid w:val="00E4791B"/>
    <w:rsid w:val="00E47974"/>
    <w:rsid w:val="00E47E31"/>
    <w:rsid w:val="00E501CB"/>
    <w:rsid w:val="00E50A97"/>
    <w:rsid w:val="00E50AC6"/>
    <w:rsid w:val="00E50F86"/>
    <w:rsid w:val="00E5157D"/>
    <w:rsid w:val="00E515E2"/>
    <w:rsid w:val="00E51830"/>
    <w:rsid w:val="00E51A82"/>
    <w:rsid w:val="00E51DDD"/>
    <w:rsid w:val="00E51FDD"/>
    <w:rsid w:val="00E52032"/>
    <w:rsid w:val="00E52435"/>
    <w:rsid w:val="00E53122"/>
    <w:rsid w:val="00E5351B"/>
    <w:rsid w:val="00E5356B"/>
    <w:rsid w:val="00E53D5C"/>
    <w:rsid w:val="00E53FA9"/>
    <w:rsid w:val="00E5414C"/>
    <w:rsid w:val="00E5478B"/>
    <w:rsid w:val="00E547B3"/>
    <w:rsid w:val="00E5533A"/>
    <w:rsid w:val="00E56A27"/>
    <w:rsid w:val="00E5733D"/>
    <w:rsid w:val="00E60735"/>
    <w:rsid w:val="00E60A88"/>
    <w:rsid w:val="00E60A8F"/>
    <w:rsid w:val="00E61CC0"/>
    <w:rsid w:val="00E6277B"/>
    <w:rsid w:val="00E63554"/>
    <w:rsid w:val="00E63CDF"/>
    <w:rsid w:val="00E64424"/>
    <w:rsid w:val="00E6481D"/>
    <w:rsid w:val="00E64C99"/>
    <w:rsid w:val="00E64CD3"/>
    <w:rsid w:val="00E6591D"/>
    <w:rsid w:val="00E66221"/>
    <w:rsid w:val="00E671C9"/>
    <w:rsid w:val="00E6743F"/>
    <w:rsid w:val="00E6745A"/>
    <w:rsid w:val="00E6758E"/>
    <w:rsid w:val="00E67E23"/>
    <w:rsid w:val="00E70016"/>
    <w:rsid w:val="00E70BC7"/>
    <w:rsid w:val="00E70CC0"/>
    <w:rsid w:val="00E70FBC"/>
    <w:rsid w:val="00E71157"/>
    <w:rsid w:val="00E728B4"/>
    <w:rsid w:val="00E72C01"/>
    <w:rsid w:val="00E741AC"/>
    <w:rsid w:val="00E74B14"/>
    <w:rsid w:val="00E75174"/>
    <w:rsid w:val="00E75B6F"/>
    <w:rsid w:val="00E75EBA"/>
    <w:rsid w:val="00E763B4"/>
    <w:rsid w:val="00E76ED6"/>
    <w:rsid w:val="00E77848"/>
    <w:rsid w:val="00E77B8F"/>
    <w:rsid w:val="00E77E72"/>
    <w:rsid w:val="00E80514"/>
    <w:rsid w:val="00E80960"/>
    <w:rsid w:val="00E80C95"/>
    <w:rsid w:val="00E80E5B"/>
    <w:rsid w:val="00E816C5"/>
    <w:rsid w:val="00E816CB"/>
    <w:rsid w:val="00E81958"/>
    <w:rsid w:val="00E81CE0"/>
    <w:rsid w:val="00E81E1F"/>
    <w:rsid w:val="00E81E7C"/>
    <w:rsid w:val="00E8224D"/>
    <w:rsid w:val="00E8496E"/>
    <w:rsid w:val="00E8519F"/>
    <w:rsid w:val="00E85446"/>
    <w:rsid w:val="00E8582E"/>
    <w:rsid w:val="00E85CC3"/>
    <w:rsid w:val="00E8644A"/>
    <w:rsid w:val="00E8786F"/>
    <w:rsid w:val="00E87B32"/>
    <w:rsid w:val="00E87E82"/>
    <w:rsid w:val="00E90279"/>
    <w:rsid w:val="00E90635"/>
    <w:rsid w:val="00E9086D"/>
    <w:rsid w:val="00E90966"/>
    <w:rsid w:val="00E909A1"/>
    <w:rsid w:val="00E90B6E"/>
    <w:rsid w:val="00E90BFF"/>
    <w:rsid w:val="00E91851"/>
    <w:rsid w:val="00E91F04"/>
    <w:rsid w:val="00E91F35"/>
    <w:rsid w:val="00E9375A"/>
    <w:rsid w:val="00E93BBE"/>
    <w:rsid w:val="00E93E04"/>
    <w:rsid w:val="00E93E19"/>
    <w:rsid w:val="00E9441F"/>
    <w:rsid w:val="00E949DF"/>
    <w:rsid w:val="00E94D74"/>
    <w:rsid w:val="00E95BA6"/>
    <w:rsid w:val="00E97648"/>
    <w:rsid w:val="00EA0E4A"/>
    <w:rsid w:val="00EA1A54"/>
    <w:rsid w:val="00EA1AED"/>
    <w:rsid w:val="00EA2226"/>
    <w:rsid w:val="00EA26FC"/>
    <w:rsid w:val="00EA2EFA"/>
    <w:rsid w:val="00EA3B5A"/>
    <w:rsid w:val="00EA410E"/>
    <w:rsid w:val="00EA4FD1"/>
    <w:rsid w:val="00EA50D3"/>
    <w:rsid w:val="00EA53C2"/>
    <w:rsid w:val="00EA5695"/>
    <w:rsid w:val="00EA5B0A"/>
    <w:rsid w:val="00EA5CE0"/>
    <w:rsid w:val="00EA65AD"/>
    <w:rsid w:val="00EA6A90"/>
    <w:rsid w:val="00EA7FCF"/>
    <w:rsid w:val="00EB0722"/>
    <w:rsid w:val="00EB099F"/>
    <w:rsid w:val="00EB0CA3"/>
    <w:rsid w:val="00EB0CCC"/>
    <w:rsid w:val="00EB104F"/>
    <w:rsid w:val="00EB15BC"/>
    <w:rsid w:val="00EB19E9"/>
    <w:rsid w:val="00EB1B27"/>
    <w:rsid w:val="00EB1DA8"/>
    <w:rsid w:val="00EB35AC"/>
    <w:rsid w:val="00EB3B5C"/>
    <w:rsid w:val="00EB3E96"/>
    <w:rsid w:val="00EB4CFF"/>
    <w:rsid w:val="00EB4E9C"/>
    <w:rsid w:val="00EB5476"/>
    <w:rsid w:val="00EB5F64"/>
    <w:rsid w:val="00EB68BF"/>
    <w:rsid w:val="00EB6FFF"/>
    <w:rsid w:val="00EB70B0"/>
    <w:rsid w:val="00EB7633"/>
    <w:rsid w:val="00EB7736"/>
    <w:rsid w:val="00EC0454"/>
    <w:rsid w:val="00EC06B4"/>
    <w:rsid w:val="00EC10F3"/>
    <w:rsid w:val="00EC1279"/>
    <w:rsid w:val="00EC13D3"/>
    <w:rsid w:val="00EC1BE5"/>
    <w:rsid w:val="00EC2B6D"/>
    <w:rsid w:val="00EC2C3D"/>
    <w:rsid w:val="00EC2E2D"/>
    <w:rsid w:val="00EC3B9A"/>
    <w:rsid w:val="00EC3F5D"/>
    <w:rsid w:val="00EC462B"/>
    <w:rsid w:val="00EC4723"/>
    <w:rsid w:val="00EC52C5"/>
    <w:rsid w:val="00EC56E0"/>
    <w:rsid w:val="00EC6057"/>
    <w:rsid w:val="00EC6154"/>
    <w:rsid w:val="00EC64FC"/>
    <w:rsid w:val="00EC6847"/>
    <w:rsid w:val="00EC6A54"/>
    <w:rsid w:val="00EC7DB6"/>
    <w:rsid w:val="00ED02B0"/>
    <w:rsid w:val="00ED0736"/>
    <w:rsid w:val="00ED09F1"/>
    <w:rsid w:val="00ED162F"/>
    <w:rsid w:val="00ED1F8F"/>
    <w:rsid w:val="00ED2CF5"/>
    <w:rsid w:val="00ED2E52"/>
    <w:rsid w:val="00ED2EF5"/>
    <w:rsid w:val="00ED2FE0"/>
    <w:rsid w:val="00ED3024"/>
    <w:rsid w:val="00ED3DE9"/>
    <w:rsid w:val="00ED4772"/>
    <w:rsid w:val="00ED5FE4"/>
    <w:rsid w:val="00ED70F1"/>
    <w:rsid w:val="00ED71C5"/>
    <w:rsid w:val="00EE068B"/>
    <w:rsid w:val="00EE16FA"/>
    <w:rsid w:val="00EE1FEC"/>
    <w:rsid w:val="00EE2DB2"/>
    <w:rsid w:val="00EE2FCD"/>
    <w:rsid w:val="00EE33BF"/>
    <w:rsid w:val="00EE3C42"/>
    <w:rsid w:val="00EE3D4F"/>
    <w:rsid w:val="00EE4720"/>
    <w:rsid w:val="00EE534D"/>
    <w:rsid w:val="00EE5560"/>
    <w:rsid w:val="00EE65B6"/>
    <w:rsid w:val="00EE69F4"/>
    <w:rsid w:val="00EE6F1E"/>
    <w:rsid w:val="00EE706A"/>
    <w:rsid w:val="00EF0348"/>
    <w:rsid w:val="00EF13B2"/>
    <w:rsid w:val="00EF1A1B"/>
    <w:rsid w:val="00EF1F9C"/>
    <w:rsid w:val="00EF38F0"/>
    <w:rsid w:val="00EF3ABC"/>
    <w:rsid w:val="00EF40EF"/>
    <w:rsid w:val="00EF4366"/>
    <w:rsid w:val="00EF4422"/>
    <w:rsid w:val="00EF4654"/>
    <w:rsid w:val="00EF4CD6"/>
    <w:rsid w:val="00EF4F67"/>
    <w:rsid w:val="00EF55A0"/>
    <w:rsid w:val="00EF63D1"/>
    <w:rsid w:val="00EF6513"/>
    <w:rsid w:val="00EF661D"/>
    <w:rsid w:val="00EF6683"/>
    <w:rsid w:val="00EF6DDF"/>
    <w:rsid w:val="00EF7002"/>
    <w:rsid w:val="00EF769B"/>
    <w:rsid w:val="00EF77E1"/>
    <w:rsid w:val="00F005BD"/>
    <w:rsid w:val="00F006B2"/>
    <w:rsid w:val="00F0133C"/>
    <w:rsid w:val="00F027BA"/>
    <w:rsid w:val="00F033A2"/>
    <w:rsid w:val="00F03E79"/>
    <w:rsid w:val="00F0523B"/>
    <w:rsid w:val="00F0628D"/>
    <w:rsid w:val="00F06368"/>
    <w:rsid w:val="00F06651"/>
    <w:rsid w:val="00F07767"/>
    <w:rsid w:val="00F07B90"/>
    <w:rsid w:val="00F07DE6"/>
    <w:rsid w:val="00F1012D"/>
    <w:rsid w:val="00F1056C"/>
    <w:rsid w:val="00F10615"/>
    <w:rsid w:val="00F107F1"/>
    <w:rsid w:val="00F10AEC"/>
    <w:rsid w:val="00F10FC1"/>
    <w:rsid w:val="00F11093"/>
    <w:rsid w:val="00F112FD"/>
    <w:rsid w:val="00F118D1"/>
    <w:rsid w:val="00F11C5A"/>
    <w:rsid w:val="00F12231"/>
    <w:rsid w:val="00F124C3"/>
    <w:rsid w:val="00F12E0C"/>
    <w:rsid w:val="00F133A1"/>
    <w:rsid w:val="00F13ECD"/>
    <w:rsid w:val="00F1475D"/>
    <w:rsid w:val="00F14F2D"/>
    <w:rsid w:val="00F14F9A"/>
    <w:rsid w:val="00F155CE"/>
    <w:rsid w:val="00F16190"/>
    <w:rsid w:val="00F16BF2"/>
    <w:rsid w:val="00F17AFE"/>
    <w:rsid w:val="00F17DD1"/>
    <w:rsid w:val="00F17EAE"/>
    <w:rsid w:val="00F21560"/>
    <w:rsid w:val="00F21625"/>
    <w:rsid w:val="00F218D4"/>
    <w:rsid w:val="00F22122"/>
    <w:rsid w:val="00F22127"/>
    <w:rsid w:val="00F2250A"/>
    <w:rsid w:val="00F232EE"/>
    <w:rsid w:val="00F244A7"/>
    <w:rsid w:val="00F24788"/>
    <w:rsid w:val="00F24B19"/>
    <w:rsid w:val="00F251F3"/>
    <w:rsid w:val="00F262C6"/>
    <w:rsid w:val="00F2640F"/>
    <w:rsid w:val="00F27C34"/>
    <w:rsid w:val="00F27E46"/>
    <w:rsid w:val="00F301C2"/>
    <w:rsid w:val="00F302E1"/>
    <w:rsid w:val="00F30C22"/>
    <w:rsid w:val="00F30FCD"/>
    <w:rsid w:val="00F31211"/>
    <w:rsid w:val="00F31B22"/>
    <w:rsid w:val="00F31B49"/>
    <w:rsid w:val="00F31B8A"/>
    <w:rsid w:val="00F3233B"/>
    <w:rsid w:val="00F32F56"/>
    <w:rsid w:val="00F33D4F"/>
    <w:rsid w:val="00F34CD6"/>
    <w:rsid w:val="00F35501"/>
    <w:rsid w:val="00F35873"/>
    <w:rsid w:val="00F35920"/>
    <w:rsid w:val="00F3654C"/>
    <w:rsid w:val="00F366A5"/>
    <w:rsid w:val="00F36C5F"/>
    <w:rsid w:val="00F36C7D"/>
    <w:rsid w:val="00F36EE3"/>
    <w:rsid w:val="00F37259"/>
    <w:rsid w:val="00F3783B"/>
    <w:rsid w:val="00F37CD4"/>
    <w:rsid w:val="00F37CDB"/>
    <w:rsid w:val="00F40176"/>
    <w:rsid w:val="00F405A4"/>
    <w:rsid w:val="00F40E26"/>
    <w:rsid w:val="00F41260"/>
    <w:rsid w:val="00F41747"/>
    <w:rsid w:val="00F417A8"/>
    <w:rsid w:val="00F41893"/>
    <w:rsid w:val="00F41F05"/>
    <w:rsid w:val="00F42463"/>
    <w:rsid w:val="00F433BD"/>
    <w:rsid w:val="00F43FFA"/>
    <w:rsid w:val="00F44DD3"/>
    <w:rsid w:val="00F44EC5"/>
    <w:rsid w:val="00F460C6"/>
    <w:rsid w:val="00F46865"/>
    <w:rsid w:val="00F4729F"/>
    <w:rsid w:val="00F47498"/>
    <w:rsid w:val="00F506A0"/>
    <w:rsid w:val="00F507C4"/>
    <w:rsid w:val="00F512B2"/>
    <w:rsid w:val="00F5283D"/>
    <w:rsid w:val="00F52ABA"/>
    <w:rsid w:val="00F52BC7"/>
    <w:rsid w:val="00F530BB"/>
    <w:rsid w:val="00F53BF4"/>
    <w:rsid w:val="00F54266"/>
    <w:rsid w:val="00F55043"/>
    <w:rsid w:val="00F56DCF"/>
    <w:rsid w:val="00F57034"/>
    <w:rsid w:val="00F579DE"/>
    <w:rsid w:val="00F57B41"/>
    <w:rsid w:val="00F6056B"/>
    <w:rsid w:val="00F60BE9"/>
    <w:rsid w:val="00F61AE6"/>
    <w:rsid w:val="00F61FD8"/>
    <w:rsid w:val="00F629C8"/>
    <w:rsid w:val="00F62DBF"/>
    <w:rsid w:val="00F62E47"/>
    <w:rsid w:val="00F63FBA"/>
    <w:rsid w:val="00F641FC"/>
    <w:rsid w:val="00F647F7"/>
    <w:rsid w:val="00F6583C"/>
    <w:rsid w:val="00F6589A"/>
    <w:rsid w:val="00F65AC8"/>
    <w:rsid w:val="00F65CF2"/>
    <w:rsid w:val="00F66186"/>
    <w:rsid w:val="00F6781D"/>
    <w:rsid w:val="00F6783E"/>
    <w:rsid w:val="00F67B07"/>
    <w:rsid w:val="00F67C72"/>
    <w:rsid w:val="00F70DBE"/>
    <w:rsid w:val="00F71124"/>
    <w:rsid w:val="00F71888"/>
    <w:rsid w:val="00F719CD"/>
    <w:rsid w:val="00F71BB8"/>
    <w:rsid w:val="00F71ED5"/>
    <w:rsid w:val="00F72584"/>
    <w:rsid w:val="00F7290D"/>
    <w:rsid w:val="00F7302F"/>
    <w:rsid w:val="00F732EC"/>
    <w:rsid w:val="00F73D08"/>
    <w:rsid w:val="00F752C4"/>
    <w:rsid w:val="00F7586B"/>
    <w:rsid w:val="00F75912"/>
    <w:rsid w:val="00F75BA0"/>
    <w:rsid w:val="00F75F2F"/>
    <w:rsid w:val="00F76445"/>
    <w:rsid w:val="00F76ECC"/>
    <w:rsid w:val="00F76F75"/>
    <w:rsid w:val="00F77C21"/>
    <w:rsid w:val="00F77C64"/>
    <w:rsid w:val="00F77ED2"/>
    <w:rsid w:val="00F80399"/>
    <w:rsid w:val="00F80E7F"/>
    <w:rsid w:val="00F812C8"/>
    <w:rsid w:val="00F8132D"/>
    <w:rsid w:val="00F814D5"/>
    <w:rsid w:val="00F817AF"/>
    <w:rsid w:val="00F818AE"/>
    <w:rsid w:val="00F819B7"/>
    <w:rsid w:val="00F81B40"/>
    <w:rsid w:val="00F81C7F"/>
    <w:rsid w:val="00F820C4"/>
    <w:rsid w:val="00F83078"/>
    <w:rsid w:val="00F834F3"/>
    <w:rsid w:val="00F83540"/>
    <w:rsid w:val="00F83829"/>
    <w:rsid w:val="00F84069"/>
    <w:rsid w:val="00F843D7"/>
    <w:rsid w:val="00F84698"/>
    <w:rsid w:val="00F85153"/>
    <w:rsid w:val="00F85536"/>
    <w:rsid w:val="00F8657A"/>
    <w:rsid w:val="00F8679A"/>
    <w:rsid w:val="00F87117"/>
    <w:rsid w:val="00F8736C"/>
    <w:rsid w:val="00F876AF"/>
    <w:rsid w:val="00F9030E"/>
    <w:rsid w:val="00F9084F"/>
    <w:rsid w:val="00F90990"/>
    <w:rsid w:val="00F90ADB"/>
    <w:rsid w:val="00F90D69"/>
    <w:rsid w:val="00F90E78"/>
    <w:rsid w:val="00F91209"/>
    <w:rsid w:val="00F91A6D"/>
    <w:rsid w:val="00F9221F"/>
    <w:rsid w:val="00F92E62"/>
    <w:rsid w:val="00F93163"/>
    <w:rsid w:val="00F931C7"/>
    <w:rsid w:val="00F93559"/>
    <w:rsid w:val="00F93838"/>
    <w:rsid w:val="00F93D72"/>
    <w:rsid w:val="00F93E65"/>
    <w:rsid w:val="00F94070"/>
    <w:rsid w:val="00F942F1"/>
    <w:rsid w:val="00F950B5"/>
    <w:rsid w:val="00F9513F"/>
    <w:rsid w:val="00F958FF"/>
    <w:rsid w:val="00F963EE"/>
    <w:rsid w:val="00F9761C"/>
    <w:rsid w:val="00F977F2"/>
    <w:rsid w:val="00F97908"/>
    <w:rsid w:val="00F97B43"/>
    <w:rsid w:val="00FA07F8"/>
    <w:rsid w:val="00FA105C"/>
    <w:rsid w:val="00FA1475"/>
    <w:rsid w:val="00FA148A"/>
    <w:rsid w:val="00FA1629"/>
    <w:rsid w:val="00FA25A0"/>
    <w:rsid w:val="00FA27C8"/>
    <w:rsid w:val="00FA2E85"/>
    <w:rsid w:val="00FA3B76"/>
    <w:rsid w:val="00FA3D67"/>
    <w:rsid w:val="00FA487C"/>
    <w:rsid w:val="00FA4D66"/>
    <w:rsid w:val="00FA4E1F"/>
    <w:rsid w:val="00FA5A4E"/>
    <w:rsid w:val="00FA7ED9"/>
    <w:rsid w:val="00FB0082"/>
    <w:rsid w:val="00FB0243"/>
    <w:rsid w:val="00FB0B6D"/>
    <w:rsid w:val="00FB0F1A"/>
    <w:rsid w:val="00FB1527"/>
    <w:rsid w:val="00FB24CB"/>
    <w:rsid w:val="00FB2537"/>
    <w:rsid w:val="00FB33DC"/>
    <w:rsid w:val="00FB3453"/>
    <w:rsid w:val="00FB36CE"/>
    <w:rsid w:val="00FB40BB"/>
    <w:rsid w:val="00FB4338"/>
    <w:rsid w:val="00FB477E"/>
    <w:rsid w:val="00FB4C9C"/>
    <w:rsid w:val="00FB53CD"/>
    <w:rsid w:val="00FB5A5E"/>
    <w:rsid w:val="00FB5DF1"/>
    <w:rsid w:val="00FB6165"/>
    <w:rsid w:val="00FB6196"/>
    <w:rsid w:val="00FB6F29"/>
    <w:rsid w:val="00FC0150"/>
    <w:rsid w:val="00FC03AB"/>
    <w:rsid w:val="00FC0AD6"/>
    <w:rsid w:val="00FC160B"/>
    <w:rsid w:val="00FC3004"/>
    <w:rsid w:val="00FC31C2"/>
    <w:rsid w:val="00FC3A5E"/>
    <w:rsid w:val="00FC3CD3"/>
    <w:rsid w:val="00FC4729"/>
    <w:rsid w:val="00FC481C"/>
    <w:rsid w:val="00FC4A8C"/>
    <w:rsid w:val="00FC4F22"/>
    <w:rsid w:val="00FC51B8"/>
    <w:rsid w:val="00FC53DB"/>
    <w:rsid w:val="00FC5C08"/>
    <w:rsid w:val="00FC5F24"/>
    <w:rsid w:val="00FC5FC2"/>
    <w:rsid w:val="00FC6177"/>
    <w:rsid w:val="00FC63D1"/>
    <w:rsid w:val="00FC66F9"/>
    <w:rsid w:val="00FC7528"/>
    <w:rsid w:val="00FD00AD"/>
    <w:rsid w:val="00FD00C7"/>
    <w:rsid w:val="00FD0459"/>
    <w:rsid w:val="00FD0572"/>
    <w:rsid w:val="00FD1A97"/>
    <w:rsid w:val="00FD2D7B"/>
    <w:rsid w:val="00FD33D3"/>
    <w:rsid w:val="00FD37F6"/>
    <w:rsid w:val="00FD4589"/>
    <w:rsid w:val="00FD473E"/>
    <w:rsid w:val="00FD4E76"/>
    <w:rsid w:val="00FD5083"/>
    <w:rsid w:val="00FD5108"/>
    <w:rsid w:val="00FD66CE"/>
    <w:rsid w:val="00FD7AD1"/>
    <w:rsid w:val="00FD7DF9"/>
    <w:rsid w:val="00FE069E"/>
    <w:rsid w:val="00FE0B03"/>
    <w:rsid w:val="00FE0B51"/>
    <w:rsid w:val="00FE0B78"/>
    <w:rsid w:val="00FE0ED4"/>
    <w:rsid w:val="00FE15C3"/>
    <w:rsid w:val="00FE1CDA"/>
    <w:rsid w:val="00FE1EAB"/>
    <w:rsid w:val="00FE2406"/>
    <w:rsid w:val="00FE30FE"/>
    <w:rsid w:val="00FE3465"/>
    <w:rsid w:val="00FE348A"/>
    <w:rsid w:val="00FE41EB"/>
    <w:rsid w:val="00FE50FF"/>
    <w:rsid w:val="00FE58F7"/>
    <w:rsid w:val="00FE67CF"/>
    <w:rsid w:val="00FE6C1D"/>
    <w:rsid w:val="00FE6D20"/>
    <w:rsid w:val="00FE6FB9"/>
    <w:rsid w:val="00FE7549"/>
    <w:rsid w:val="00FE7BCC"/>
    <w:rsid w:val="00FF03AA"/>
    <w:rsid w:val="00FF0632"/>
    <w:rsid w:val="00FF126D"/>
    <w:rsid w:val="00FF2310"/>
    <w:rsid w:val="00FF2E73"/>
    <w:rsid w:val="00FF2F45"/>
    <w:rsid w:val="00FF30FB"/>
    <w:rsid w:val="00FF4AE2"/>
    <w:rsid w:val="00FF50A8"/>
    <w:rsid w:val="00FF571E"/>
    <w:rsid w:val="00FF58FB"/>
    <w:rsid w:val="00FF5A6B"/>
    <w:rsid w:val="00FF68AC"/>
    <w:rsid w:val="00FF6B8C"/>
    <w:rsid w:val="00FF6BD1"/>
    <w:rsid w:val="00FF6CC0"/>
    <w:rsid w:val="00FF72E7"/>
    <w:rsid w:val="00FF7512"/>
    <w:rsid w:val="00FF7563"/>
    <w:rsid w:val="00FF780B"/>
    <w:rsid w:val="05F78FE5"/>
    <w:rsid w:val="07EE236A"/>
    <w:rsid w:val="07F9219A"/>
    <w:rsid w:val="0B7EBECF"/>
    <w:rsid w:val="0DE943F3"/>
    <w:rsid w:val="0E3E4D03"/>
    <w:rsid w:val="0F5EC41C"/>
    <w:rsid w:val="0FDFA2AD"/>
    <w:rsid w:val="0FEE452B"/>
    <w:rsid w:val="106FCF2B"/>
    <w:rsid w:val="16D3174A"/>
    <w:rsid w:val="16FFBEF6"/>
    <w:rsid w:val="18BD732B"/>
    <w:rsid w:val="19FF4E43"/>
    <w:rsid w:val="1B2D8616"/>
    <w:rsid w:val="1B7FAA5E"/>
    <w:rsid w:val="1B9FFC1A"/>
    <w:rsid w:val="1BE198DE"/>
    <w:rsid w:val="1CFF7FD3"/>
    <w:rsid w:val="1DE692A3"/>
    <w:rsid w:val="1DF70F6A"/>
    <w:rsid w:val="1DFFC7EB"/>
    <w:rsid w:val="1EE75C33"/>
    <w:rsid w:val="1EFCB71A"/>
    <w:rsid w:val="1F29826E"/>
    <w:rsid w:val="1F3FCB2D"/>
    <w:rsid w:val="1F4959BB"/>
    <w:rsid w:val="1F7F0B2E"/>
    <w:rsid w:val="1FBFFB72"/>
    <w:rsid w:val="1FCFF432"/>
    <w:rsid w:val="1FF72A0E"/>
    <w:rsid w:val="1FFF1341"/>
    <w:rsid w:val="2377BF21"/>
    <w:rsid w:val="23BB607E"/>
    <w:rsid w:val="23BCA185"/>
    <w:rsid w:val="257EF4FD"/>
    <w:rsid w:val="25DE4399"/>
    <w:rsid w:val="267FA873"/>
    <w:rsid w:val="26DF2682"/>
    <w:rsid w:val="27AB989F"/>
    <w:rsid w:val="27BF4944"/>
    <w:rsid w:val="27FF1F80"/>
    <w:rsid w:val="29EF33FD"/>
    <w:rsid w:val="2ADE94A6"/>
    <w:rsid w:val="2AEF84C7"/>
    <w:rsid w:val="2B5B5026"/>
    <w:rsid w:val="2BB3192E"/>
    <w:rsid w:val="2DBF04AD"/>
    <w:rsid w:val="2EADF1FD"/>
    <w:rsid w:val="2EFF3C32"/>
    <w:rsid w:val="2EFF3E93"/>
    <w:rsid w:val="2F590D64"/>
    <w:rsid w:val="2F7FB70E"/>
    <w:rsid w:val="2FDC4E2F"/>
    <w:rsid w:val="2FF7EFFE"/>
    <w:rsid w:val="2FFB0CC4"/>
    <w:rsid w:val="2FFC5E03"/>
    <w:rsid w:val="31DFE21A"/>
    <w:rsid w:val="32DD150D"/>
    <w:rsid w:val="32FBEF00"/>
    <w:rsid w:val="334F3DD8"/>
    <w:rsid w:val="33B99EB3"/>
    <w:rsid w:val="33FAC15E"/>
    <w:rsid w:val="33FDCD6F"/>
    <w:rsid w:val="34EFF344"/>
    <w:rsid w:val="34FDFDA4"/>
    <w:rsid w:val="356F7B78"/>
    <w:rsid w:val="35DD7A0D"/>
    <w:rsid w:val="35FB1C3E"/>
    <w:rsid w:val="37673100"/>
    <w:rsid w:val="37F728CF"/>
    <w:rsid w:val="382FBDFC"/>
    <w:rsid w:val="383F2852"/>
    <w:rsid w:val="3972B621"/>
    <w:rsid w:val="39BF0B17"/>
    <w:rsid w:val="39EFDB7E"/>
    <w:rsid w:val="39FCCFFD"/>
    <w:rsid w:val="3A7F96DF"/>
    <w:rsid w:val="3AFE6BFA"/>
    <w:rsid w:val="3B5BF321"/>
    <w:rsid w:val="3B7E49AD"/>
    <w:rsid w:val="3B9E671F"/>
    <w:rsid w:val="3B9F597D"/>
    <w:rsid w:val="3BAF9D41"/>
    <w:rsid w:val="3BAFBCE0"/>
    <w:rsid w:val="3BDFC476"/>
    <w:rsid w:val="3BE63D5E"/>
    <w:rsid w:val="3BF644D5"/>
    <w:rsid w:val="3BF7115D"/>
    <w:rsid w:val="3BFE78A7"/>
    <w:rsid w:val="3BFE95EA"/>
    <w:rsid w:val="3C6B7333"/>
    <w:rsid w:val="3CAC815A"/>
    <w:rsid w:val="3CF51DE6"/>
    <w:rsid w:val="3D15541C"/>
    <w:rsid w:val="3D6F3F08"/>
    <w:rsid w:val="3D7D1BCC"/>
    <w:rsid w:val="3D7FC6CE"/>
    <w:rsid w:val="3DBF2EBC"/>
    <w:rsid w:val="3DD6A687"/>
    <w:rsid w:val="3DE7CD63"/>
    <w:rsid w:val="3DFD8DFE"/>
    <w:rsid w:val="3DFDCA4F"/>
    <w:rsid w:val="3DFEC705"/>
    <w:rsid w:val="3DFFA7B0"/>
    <w:rsid w:val="3DFFBA16"/>
    <w:rsid w:val="3E0F7839"/>
    <w:rsid w:val="3E7C1CDE"/>
    <w:rsid w:val="3EA82E23"/>
    <w:rsid w:val="3EBD6BF3"/>
    <w:rsid w:val="3ECF2598"/>
    <w:rsid w:val="3EE73457"/>
    <w:rsid w:val="3EEEC258"/>
    <w:rsid w:val="3EF744A7"/>
    <w:rsid w:val="3EFBCCDA"/>
    <w:rsid w:val="3EFEAA14"/>
    <w:rsid w:val="3EFEDC8F"/>
    <w:rsid w:val="3EFFBC9E"/>
    <w:rsid w:val="3F21ACF1"/>
    <w:rsid w:val="3F39A110"/>
    <w:rsid w:val="3F590FD4"/>
    <w:rsid w:val="3F7E64A7"/>
    <w:rsid w:val="3F8D64ED"/>
    <w:rsid w:val="3F9354DF"/>
    <w:rsid w:val="3FBB57D8"/>
    <w:rsid w:val="3FCFBC86"/>
    <w:rsid w:val="3FD3AB02"/>
    <w:rsid w:val="3FEC26D8"/>
    <w:rsid w:val="3FEFA4B3"/>
    <w:rsid w:val="3FFD46F3"/>
    <w:rsid w:val="3FFFA26F"/>
    <w:rsid w:val="43FDE9B0"/>
    <w:rsid w:val="447BDCBE"/>
    <w:rsid w:val="45B6A59A"/>
    <w:rsid w:val="473F18D1"/>
    <w:rsid w:val="47F9BAF0"/>
    <w:rsid w:val="4ADCA0F9"/>
    <w:rsid w:val="4AEDE4C1"/>
    <w:rsid w:val="4B9FA912"/>
    <w:rsid w:val="4BF35825"/>
    <w:rsid w:val="4D7F8A61"/>
    <w:rsid w:val="4DFD7A2D"/>
    <w:rsid w:val="4E1E53BB"/>
    <w:rsid w:val="4EEF365A"/>
    <w:rsid w:val="4F73BE98"/>
    <w:rsid w:val="4F76A469"/>
    <w:rsid w:val="4F7F3B68"/>
    <w:rsid w:val="4FA7C5AA"/>
    <w:rsid w:val="4FBB5E7C"/>
    <w:rsid w:val="4FD38137"/>
    <w:rsid w:val="4FDF98F6"/>
    <w:rsid w:val="4FE57D86"/>
    <w:rsid w:val="4FEF1068"/>
    <w:rsid w:val="4FF5E2A3"/>
    <w:rsid w:val="534F7D9F"/>
    <w:rsid w:val="535FFDB0"/>
    <w:rsid w:val="538070AF"/>
    <w:rsid w:val="53EC6DCB"/>
    <w:rsid w:val="5447F442"/>
    <w:rsid w:val="54E409A1"/>
    <w:rsid w:val="55EB470E"/>
    <w:rsid w:val="5699C578"/>
    <w:rsid w:val="56AB6A7D"/>
    <w:rsid w:val="56FDDB44"/>
    <w:rsid w:val="575E63D5"/>
    <w:rsid w:val="57939F6F"/>
    <w:rsid w:val="5795F38B"/>
    <w:rsid w:val="57A71E9E"/>
    <w:rsid w:val="57BD2021"/>
    <w:rsid w:val="57EDD8EF"/>
    <w:rsid w:val="57EFDBC8"/>
    <w:rsid w:val="57FB0C73"/>
    <w:rsid w:val="57FF802E"/>
    <w:rsid w:val="58A7542B"/>
    <w:rsid w:val="59EFD40E"/>
    <w:rsid w:val="5AEB05AE"/>
    <w:rsid w:val="5B75C02F"/>
    <w:rsid w:val="5BDF0D3C"/>
    <w:rsid w:val="5BF5B2BC"/>
    <w:rsid w:val="5BF688B4"/>
    <w:rsid w:val="5BF6AD15"/>
    <w:rsid w:val="5BF777B6"/>
    <w:rsid w:val="5BFECE4C"/>
    <w:rsid w:val="5BFF2ADC"/>
    <w:rsid w:val="5BFF8F08"/>
    <w:rsid w:val="5C7BA109"/>
    <w:rsid w:val="5C7F05B7"/>
    <w:rsid w:val="5CB73258"/>
    <w:rsid w:val="5CCF97E0"/>
    <w:rsid w:val="5CD82FA2"/>
    <w:rsid w:val="5D58E0CB"/>
    <w:rsid w:val="5D6F7963"/>
    <w:rsid w:val="5DED8772"/>
    <w:rsid w:val="5DEE4D81"/>
    <w:rsid w:val="5DEEB49E"/>
    <w:rsid w:val="5DF7743D"/>
    <w:rsid w:val="5E4FD312"/>
    <w:rsid w:val="5E6D0B10"/>
    <w:rsid w:val="5E7D2748"/>
    <w:rsid w:val="5EBFDE2F"/>
    <w:rsid w:val="5EF26E40"/>
    <w:rsid w:val="5EFDFD6A"/>
    <w:rsid w:val="5EFF2163"/>
    <w:rsid w:val="5EFF5F72"/>
    <w:rsid w:val="5EFFD04F"/>
    <w:rsid w:val="5F3DF273"/>
    <w:rsid w:val="5F5646EC"/>
    <w:rsid w:val="5F739DD9"/>
    <w:rsid w:val="5F73C51D"/>
    <w:rsid w:val="5F74CFC0"/>
    <w:rsid w:val="5F77FCE2"/>
    <w:rsid w:val="5F7D9D92"/>
    <w:rsid w:val="5F7E372B"/>
    <w:rsid w:val="5F7F9094"/>
    <w:rsid w:val="5F7FB96F"/>
    <w:rsid w:val="5F7FF4BA"/>
    <w:rsid w:val="5F99793B"/>
    <w:rsid w:val="5F9F969D"/>
    <w:rsid w:val="5FA8CE78"/>
    <w:rsid w:val="5FB5ADF6"/>
    <w:rsid w:val="5FB72549"/>
    <w:rsid w:val="5FD75832"/>
    <w:rsid w:val="5FD77DE9"/>
    <w:rsid w:val="5FDDD09E"/>
    <w:rsid w:val="5FDF63AD"/>
    <w:rsid w:val="5FE6A46D"/>
    <w:rsid w:val="5FF4F462"/>
    <w:rsid w:val="5FF7822B"/>
    <w:rsid w:val="5FF79315"/>
    <w:rsid w:val="5FF7B866"/>
    <w:rsid w:val="5FFA8D5F"/>
    <w:rsid w:val="5FFB8CD1"/>
    <w:rsid w:val="5FFE71C1"/>
    <w:rsid w:val="5FFEBC4B"/>
    <w:rsid w:val="5FFFA91B"/>
    <w:rsid w:val="5FFFAA53"/>
    <w:rsid w:val="5FFFF285"/>
    <w:rsid w:val="6277A46E"/>
    <w:rsid w:val="627FD46D"/>
    <w:rsid w:val="63645CDB"/>
    <w:rsid w:val="63F7399C"/>
    <w:rsid w:val="659DE22A"/>
    <w:rsid w:val="661F2A36"/>
    <w:rsid w:val="66FF56FE"/>
    <w:rsid w:val="66FFA6B2"/>
    <w:rsid w:val="672EDEF0"/>
    <w:rsid w:val="67379ABE"/>
    <w:rsid w:val="67AEF978"/>
    <w:rsid w:val="67AF42ED"/>
    <w:rsid w:val="67BE1CDA"/>
    <w:rsid w:val="67CE7FF0"/>
    <w:rsid w:val="67DC27F1"/>
    <w:rsid w:val="67E444EE"/>
    <w:rsid w:val="67ED0732"/>
    <w:rsid w:val="67FA2177"/>
    <w:rsid w:val="67FBB031"/>
    <w:rsid w:val="67FC5222"/>
    <w:rsid w:val="67FE73B7"/>
    <w:rsid w:val="67FF3DE4"/>
    <w:rsid w:val="683CD2C0"/>
    <w:rsid w:val="6877C23D"/>
    <w:rsid w:val="68FBE2B1"/>
    <w:rsid w:val="698E8802"/>
    <w:rsid w:val="69F7A361"/>
    <w:rsid w:val="69FF6CC1"/>
    <w:rsid w:val="69FFDD3B"/>
    <w:rsid w:val="6A37721B"/>
    <w:rsid w:val="6A7CB180"/>
    <w:rsid w:val="6AD4D6FC"/>
    <w:rsid w:val="6B55CD9A"/>
    <w:rsid w:val="6B6BD58E"/>
    <w:rsid w:val="6B6EBDE6"/>
    <w:rsid w:val="6B770163"/>
    <w:rsid w:val="6BB56779"/>
    <w:rsid w:val="6BF32600"/>
    <w:rsid w:val="6BFB21CC"/>
    <w:rsid w:val="6BFE1EE1"/>
    <w:rsid w:val="6C25B112"/>
    <w:rsid w:val="6C7B7C50"/>
    <w:rsid w:val="6CFF6899"/>
    <w:rsid w:val="6D132149"/>
    <w:rsid w:val="6D9C68CD"/>
    <w:rsid w:val="6DD7C4A8"/>
    <w:rsid w:val="6DE7BB94"/>
    <w:rsid w:val="6DF7F223"/>
    <w:rsid w:val="6E6A0DE4"/>
    <w:rsid w:val="6E7397AA"/>
    <w:rsid w:val="6EBFED82"/>
    <w:rsid w:val="6ECB0A44"/>
    <w:rsid w:val="6EF07845"/>
    <w:rsid w:val="6EF75BF1"/>
    <w:rsid w:val="6F370E61"/>
    <w:rsid w:val="6F55B5C8"/>
    <w:rsid w:val="6F5BBC9F"/>
    <w:rsid w:val="6F7F3670"/>
    <w:rsid w:val="6FBD1054"/>
    <w:rsid w:val="6FBF444C"/>
    <w:rsid w:val="6FCF4CA9"/>
    <w:rsid w:val="6FCF4D23"/>
    <w:rsid w:val="6FDF8C79"/>
    <w:rsid w:val="6FEB98DE"/>
    <w:rsid w:val="6FFD5F44"/>
    <w:rsid w:val="6FFD8374"/>
    <w:rsid w:val="6FFDCFB4"/>
    <w:rsid w:val="6FFE56FE"/>
    <w:rsid w:val="6FFF78DE"/>
    <w:rsid w:val="6FFF8AD0"/>
    <w:rsid w:val="6FFF8B1E"/>
    <w:rsid w:val="6FFFA35D"/>
    <w:rsid w:val="6FFFF902"/>
    <w:rsid w:val="71AEA393"/>
    <w:rsid w:val="71D32CA6"/>
    <w:rsid w:val="71FF90A5"/>
    <w:rsid w:val="72FF21E5"/>
    <w:rsid w:val="733726A9"/>
    <w:rsid w:val="735F5502"/>
    <w:rsid w:val="736FAE36"/>
    <w:rsid w:val="73BF74C0"/>
    <w:rsid w:val="73E7DC8B"/>
    <w:rsid w:val="73F39B42"/>
    <w:rsid w:val="73FB871B"/>
    <w:rsid w:val="73FD8DD8"/>
    <w:rsid w:val="74F67545"/>
    <w:rsid w:val="74F6CF00"/>
    <w:rsid w:val="7533C570"/>
    <w:rsid w:val="757F1B5C"/>
    <w:rsid w:val="75CEE238"/>
    <w:rsid w:val="75F69DC1"/>
    <w:rsid w:val="75FB90A0"/>
    <w:rsid w:val="75FE21DE"/>
    <w:rsid w:val="75FF5099"/>
    <w:rsid w:val="765F2DB6"/>
    <w:rsid w:val="7678BDBE"/>
    <w:rsid w:val="76DEAC33"/>
    <w:rsid w:val="76E7E18A"/>
    <w:rsid w:val="76F1BA1E"/>
    <w:rsid w:val="76F3B4BE"/>
    <w:rsid w:val="76FB073C"/>
    <w:rsid w:val="76FB3249"/>
    <w:rsid w:val="76FC3740"/>
    <w:rsid w:val="76FE736A"/>
    <w:rsid w:val="76FF1C4E"/>
    <w:rsid w:val="772FD57A"/>
    <w:rsid w:val="773FF66D"/>
    <w:rsid w:val="776FE7A6"/>
    <w:rsid w:val="7776BB14"/>
    <w:rsid w:val="7777AFCF"/>
    <w:rsid w:val="7777E009"/>
    <w:rsid w:val="777BBCEC"/>
    <w:rsid w:val="77915C28"/>
    <w:rsid w:val="779EA820"/>
    <w:rsid w:val="77A787DE"/>
    <w:rsid w:val="77AD8F5A"/>
    <w:rsid w:val="77AF1E58"/>
    <w:rsid w:val="77BB879D"/>
    <w:rsid w:val="77BDCDB1"/>
    <w:rsid w:val="77BFAFA8"/>
    <w:rsid w:val="77C78094"/>
    <w:rsid w:val="77CF8120"/>
    <w:rsid w:val="77D76073"/>
    <w:rsid w:val="77DD4B82"/>
    <w:rsid w:val="77DF5CA1"/>
    <w:rsid w:val="77DF9249"/>
    <w:rsid w:val="77EB2CD9"/>
    <w:rsid w:val="77EBEC67"/>
    <w:rsid w:val="77EBF1A0"/>
    <w:rsid w:val="77F3EC90"/>
    <w:rsid w:val="77FD70D3"/>
    <w:rsid w:val="77FD770D"/>
    <w:rsid w:val="77FEAB39"/>
    <w:rsid w:val="77FF795A"/>
    <w:rsid w:val="785F1A0D"/>
    <w:rsid w:val="78EE2F9A"/>
    <w:rsid w:val="78FA6F1E"/>
    <w:rsid w:val="79443FC3"/>
    <w:rsid w:val="79774566"/>
    <w:rsid w:val="797B9F09"/>
    <w:rsid w:val="79BD2F68"/>
    <w:rsid w:val="79BE72FF"/>
    <w:rsid w:val="79C2485E"/>
    <w:rsid w:val="79EDA234"/>
    <w:rsid w:val="79EF4572"/>
    <w:rsid w:val="79FC4B82"/>
    <w:rsid w:val="79FC6116"/>
    <w:rsid w:val="7A5F0A26"/>
    <w:rsid w:val="7A7B4DBC"/>
    <w:rsid w:val="7A99DDD2"/>
    <w:rsid w:val="7AA049CD"/>
    <w:rsid w:val="7ABD6B81"/>
    <w:rsid w:val="7ABFB117"/>
    <w:rsid w:val="7AEB7F8E"/>
    <w:rsid w:val="7AEBD382"/>
    <w:rsid w:val="7AED0BF1"/>
    <w:rsid w:val="7AEE0E51"/>
    <w:rsid w:val="7AFB289C"/>
    <w:rsid w:val="7AFB9F7B"/>
    <w:rsid w:val="7AFE03F1"/>
    <w:rsid w:val="7B1DBEB5"/>
    <w:rsid w:val="7B3FAB30"/>
    <w:rsid w:val="7B3FE385"/>
    <w:rsid w:val="7B573838"/>
    <w:rsid w:val="7B5E689D"/>
    <w:rsid w:val="7B5F5D4B"/>
    <w:rsid w:val="7B5F7EE1"/>
    <w:rsid w:val="7B6A82B8"/>
    <w:rsid w:val="7B6F63E8"/>
    <w:rsid w:val="7B7F270B"/>
    <w:rsid w:val="7B7FD704"/>
    <w:rsid w:val="7BBA9EB3"/>
    <w:rsid w:val="7BC05BFA"/>
    <w:rsid w:val="7BCF8330"/>
    <w:rsid w:val="7BD7D7E6"/>
    <w:rsid w:val="7BDAED8E"/>
    <w:rsid w:val="7BDD16BF"/>
    <w:rsid w:val="7BDE8B35"/>
    <w:rsid w:val="7BDF717B"/>
    <w:rsid w:val="7BE6C7DB"/>
    <w:rsid w:val="7BE94FDC"/>
    <w:rsid w:val="7BEA2A12"/>
    <w:rsid w:val="7BEB9470"/>
    <w:rsid w:val="7BFC9F7A"/>
    <w:rsid w:val="7BFD7755"/>
    <w:rsid w:val="7BFD91AE"/>
    <w:rsid w:val="7BFED745"/>
    <w:rsid w:val="7BFFD980"/>
    <w:rsid w:val="7C66B9B9"/>
    <w:rsid w:val="7C7F7379"/>
    <w:rsid w:val="7CBF2B7E"/>
    <w:rsid w:val="7CCFE7F0"/>
    <w:rsid w:val="7CEFE6E7"/>
    <w:rsid w:val="7CF7E3ED"/>
    <w:rsid w:val="7CFDF751"/>
    <w:rsid w:val="7CFF591C"/>
    <w:rsid w:val="7D1DEBEA"/>
    <w:rsid w:val="7D5B53EB"/>
    <w:rsid w:val="7D7D6086"/>
    <w:rsid w:val="7D9B5195"/>
    <w:rsid w:val="7D9D4D10"/>
    <w:rsid w:val="7DAE0A84"/>
    <w:rsid w:val="7DAE6279"/>
    <w:rsid w:val="7DB7117A"/>
    <w:rsid w:val="7DBD0D3A"/>
    <w:rsid w:val="7DBD4EEB"/>
    <w:rsid w:val="7DBF41B5"/>
    <w:rsid w:val="7DBFABF5"/>
    <w:rsid w:val="7DD7F3C1"/>
    <w:rsid w:val="7DDB446C"/>
    <w:rsid w:val="7DDD6EFE"/>
    <w:rsid w:val="7DDE63AB"/>
    <w:rsid w:val="7DEBE379"/>
    <w:rsid w:val="7DEF13BA"/>
    <w:rsid w:val="7DF7A17A"/>
    <w:rsid w:val="7DF7DE87"/>
    <w:rsid w:val="7DF7DF25"/>
    <w:rsid w:val="7DF7F10C"/>
    <w:rsid w:val="7DFBE79E"/>
    <w:rsid w:val="7DFBE994"/>
    <w:rsid w:val="7DFE8EA1"/>
    <w:rsid w:val="7DFFE8D6"/>
    <w:rsid w:val="7E1DAE21"/>
    <w:rsid w:val="7E3F7937"/>
    <w:rsid w:val="7E5F4DD7"/>
    <w:rsid w:val="7E673BB1"/>
    <w:rsid w:val="7E6FCB0A"/>
    <w:rsid w:val="7E79BF72"/>
    <w:rsid w:val="7E7AFF44"/>
    <w:rsid w:val="7E7FEB0F"/>
    <w:rsid w:val="7E8B4DC6"/>
    <w:rsid w:val="7EAA00DF"/>
    <w:rsid w:val="7EADB7F1"/>
    <w:rsid w:val="7EAE8C71"/>
    <w:rsid w:val="7EAF1646"/>
    <w:rsid w:val="7EC3922B"/>
    <w:rsid w:val="7EDB5A3D"/>
    <w:rsid w:val="7EDF13EE"/>
    <w:rsid w:val="7EDFBEE7"/>
    <w:rsid w:val="7EEBF3E9"/>
    <w:rsid w:val="7EED5FB7"/>
    <w:rsid w:val="7EEED33D"/>
    <w:rsid w:val="7EEFB2DD"/>
    <w:rsid w:val="7EF7A74E"/>
    <w:rsid w:val="7EFD22BA"/>
    <w:rsid w:val="7EFDD91D"/>
    <w:rsid w:val="7EFE33CA"/>
    <w:rsid w:val="7EFE8CD2"/>
    <w:rsid w:val="7EFF82C4"/>
    <w:rsid w:val="7F4964A8"/>
    <w:rsid w:val="7F4DC04D"/>
    <w:rsid w:val="7F536FFD"/>
    <w:rsid w:val="7F5C6C21"/>
    <w:rsid w:val="7F67EA86"/>
    <w:rsid w:val="7F76432D"/>
    <w:rsid w:val="7F771725"/>
    <w:rsid w:val="7F779D61"/>
    <w:rsid w:val="7F794768"/>
    <w:rsid w:val="7F7C9D8F"/>
    <w:rsid w:val="7F7D0FB4"/>
    <w:rsid w:val="7F7D5A33"/>
    <w:rsid w:val="7F7E7315"/>
    <w:rsid w:val="7F7E9B71"/>
    <w:rsid w:val="7F7EB7A3"/>
    <w:rsid w:val="7F7FE0C6"/>
    <w:rsid w:val="7F8EF6D4"/>
    <w:rsid w:val="7F93E45A"/>
    <w:rsid w:val="7F972C99"/>
    <w:rsid w:val="7F9F8727"/>
    <w:rsid w:val="7FAC5C27"/>
    <w:rsid w:val="7FB1B4E0"/>
    <w:rsid w:val="7FB48DC4"/>
    <w:rsid w:val="7FB54455"/>
    <w:rsid w:val="7FB6699F"/>
    <w:rsid w:val="7FB77A49"/>
    <w:rsid w:val="7FB94BB1"/>
    <w:rsid w:val="7FB9AC4A"/>
    <w:rsid w:val="7FBB4756"/>
    <w:rsid w:val="7FBB8D4F"/>
    <w:rsid w:val="7FBDB785"/>
    <w:rsid w:val="7FBF6692"/>
    <w:rsid w:val="7FBFA245"/>
    <w:rsid w:val="7FBFF305"/>
    <w:rsid w:val="7FC43B7C"/>
    <w:rsid w:val="7FC945E6"/>
    <w:rsid w:val="7FCB7764"/>
    <w:rsid w:val="7FCD45FA"/>
    <w:rsid w:val="7FCF0C62"/>
    <w:rsid w:val="7FCF894E"/>
    <w:rsid w:val="7FDB9AB9"/>
    <w:rsid w:val="7FDDAF43"/>
    <w:rsid w:val="7FDDFA08"/>
    <w:rsid w:val="7FDF4325"/>
    <w:rsid w:val="7FDFE181"/>
    <w:rsid w:val="7FE7C4A0"/>
    <w:rsid w:val="7FE7EA09"/>
    <w:rsid w:val="7FEEE02C"/>
    <w:rsid w:val="7FEF71D4"/>
    <w:rsid w:val="7FEFAE9E"/>
    <w:rsid w:val="7FF4751E"/>
    <w:rsid w:val="7FF5E45A"/>
    <w:rsid w:val="7FF6E45C"/>
    <w:rsid w:val="7FF7073D"/>
    <w:rsid w:val="7FF70FB2"/>
    <w:rsid w:val="7FF74C55"/>
    <w:rsid w:val="7FF75A78"/>
    <w:rsid w:val="7FF7B8FE"/>
    <w:rsid w:val="7FF7DA0C"/>
    <w:rsid w:val="7FF7F176"/>
    <w:rsid w:val="7FF7F6AE"/>
    <w:rsid w:val="7FF9790C"/>
    <w:rsid w:val="7FFB912A"/>
    <w:rsid w:val="7FFBD01D"/>
    <w:rsid w:val="7FFBD08B"/>
    <w:rsid w:val="7FFC7A53"/>
    <w:rsid w:val="7FFD3CD2"/>
    <w:rsid w:val="7FFD7A65"/>
    <w:rsid w:val="7FFDDC19"/>
    <w:rsid w:val="7FFDFF88"/>
    <w:rsid w:val="7FFE4B76"/>
    <w:rsid w:val="7FFEB7A3"/>
    <w:rsid w:val="7FFF27BF"/>
    <w:rsid w:val="7FFFCBA6"/>
    <w:rsid w:val="833F893B"/>
    <w:rsid w:val="8BCBD02E"/>
    <w:rsid w:val="8CDD2563"/>
    <w:rsid w:val="8DAF86FA"/>
    <w:rsid w:val="941512CA"/>
    <w:rsid w:val="95BF5973"/>
    <w:rsid w:val="95FF8203"/>
    <w:rsid w:val="96BFECD1"/>
    <w:rsid w:val="96F4D927"/>
    <w:rsid w:val="97D7DA57"/>
    <w:rsid w:val="97DEC8C3"/>
    <w:rsid w:val="97FFADBE"/>
    <w:rsid w:val="99DFD7C4"/>
    <w:rsid w:val="9AB36C4E"/>
    <w:rsid w:val="9BBFFFC0"/>
    <w:rsid w:val="9BCEB244"/>
    <w:rsid w:val="9BDC00C1"/>
    <w:rsid w:val="9DB67077"/>
    <w:rsid w:val="9E7B4F33"/>
    <w:rsid w:val="9EFD8D6F"/>
    <w:rsid w:val="9FBB5392"/>
    <w:rsid w:val="9FE9EEA1"/>
    <w:rsid w:val="9FF589B4"/>
    <w:rsid w:val="9FF8BB96"/>
    <w:rsid w:val="9FFBDC08"/>
    <w:rsid w:val="9FFD84C1"/>
    <w:rsid w:val="A0EFB538"/>
    <w:rsid w:val="A16C51BE"/>
    <w:rsid w:val="A2FFCD17"/>
    <w:rsid w:val="A3BF7F70"/>
    <w:rsid w:val="A3FF50E0"/>
    <w:rsid w:val="A57B2F2A"/>
    <w:rsid w:val="A5FFD390"/>
    <w:rsid w:val="A673A421"/>
    <w:rsid w:val="A67F29BA"/>
    <w:rsid w:val="A77F9805"/>
    <w:rsid w:val="A7F9B835"/>
    <w:rsid w:val="A7FD106A"/>
    <w:rsid w:val="A8FEE3D4"/>
    <w:rsid w:val="A95FCC50"/>
    <w:rsid w:val="AAFD3C05"/>
    <w:rsid w:val="ABBB43DE"/>
    <w:rsid w:val="ABE7C7F1"/>
    <w:rsid w:val="ACB3DC18"/>
    <w:rsid w:val="AD337700"/>
    <w:rsid w:val="AD7B075A"/>
    <w:rsid w:val="ADE47CB6"/>
    <w:rsid w:val="ADE5EA71"/>
    <w:rsid w:val="AE9B57DD"/>
    <w:rsid w:val="AEBC442C"/>
    <w:rsid w:val="AEFD2BF0"/>
    <w:rsid w:val="AF57A41E"/>
    <w:rsid w:val="AF7FC11A"/>
    <w:rsid w:val="AFEF7469"/>
    <w:rsid w:val="AFF71C8A"/>
    <w:rsid w:val="AFFA46E2"/>
    <w:rsid w:val="AFFFB7DF"/>
    <w:rsid w:val="B2A79961"/>
    <w:rsid w:val="B2DB1957"/>
    <w:rsid w:val="B3B7487B"/>
    <w:rsid w:val="B3BAF14F"/>
    <w:rsid w:val="B3FB768B"/>
    <w:rsid w:val="B5EF7838"/>
    <w:rsid w:val="B62F215A"/>
    <w:rsid w:val="B6B9CB18"/>
    <w:rsid w:val="B6BF6B39"/>
    <w:rsid w:val="B6FF3C76"/>
    <w:rsid w:val="B73F1217"/>
    <w:rsid w:val="B74F3B71"/>
    <w:rsid w:val="B75B551C"/>
    <w:rsid w:val="B79CB519"/>
    <w:rsid w:val="B7B5689F"/>
    <w:rsid w:val="B7BC3EFE"/>
    <w:rsid w:val="B7DF3D12"/>
    <w:rsid w:val="B7DFBB9A"/>
    <w:rsid w:val="B7F7FF89"/>
    <w:rsid w:val="B7FEAE3E"/>
    <w:rsid w:val="B7FF7687"/>
    <w:rsid w:val="B8EB159C"/>
    <w:rsid w:val="B9574724"/>
    <w:rsid w:val="B95B893B"/>
    <w:rsid w:val="B99F394C"/>
    <w:rsid w:val="B9BE12AF"/>
    <w:rsid w:val="B9D63706"/>
    <w:rsid w:val="BB1F030A"/>
    <w:rsid w:val="BB3F4E70"/>
    <w:rsid w:val="BBCF914A"/>
    <w:rsid w:val="BBDBF998"/>
    <w:rsid w:val="BBDE5262"/>
    <w:rsid w:val="BBF50960"/>
    <w:rsid w:val="BBFE7A14"/>
    <w:rsid w:val="BBFFA884"/>
    <w:rsid w:val="BCDFD361"/>
    <w:rsid w:val="BCFF6E74"/>
    <w:rsid w:val="BD7E6E61"/>
    <w:rsid w:val="BDBF34E9"/>
    <w:rsid w:val="BDD5CD13"/>
    <w:rsid w:val="BDD76904"/>
    <w:rsid w:val="BDDD49D3"/>
    <w:rsid w:val="BDEDB806"/>
    <w:rsid w:val="BDEF8878"/>
    <w:rsid w:val="BDF66DFC"/>
    <w:rsid w:val="BDFA7329"/>
    <w:rsid w:val="BDFE327D"/>
    <w:rsid w:val="BDFF148B"/>
    <w:rsid w:val="BE3EC1F5"/>
    <w:rsid w:val="BE562AEF"/>
    <w:rsid w:val="BE5DC183"/>
    <w:rsid w:val="BE5DE611"/>
    <w:rsid w:val="BE7F01B3"/>
    <w:rsid w:val="BE7F5F9E"/>
    <w:rsid w:val="BE9D8773"/>
    <w:rsid w:val="BE9E7224"/>
    <w:rsid w:val="BEBB1E69"/>
    <w:rsid w:val="BEEC55EE"/>
    <w:rsid w:val="BEFDFD8A"/>
    <w:rsid w:val="BEFEAD51"/>
    <w:rsid w:val="BF5FA8F6"/>
    <w:rsid w:val="BF6E0045"/>
    <w:rsid w:val="BF7E5510"/>
    <w:rsid w:val="BF7F12CE"/>
    <w:rsid w:val="BF9F4346"/>
    <w:rsid w:val="BFB7FB16"/>
    <w:rsid w:val="BFBD1AC9"/>
    <w:rsid w:val="BFBD8ADD"/>
    <w:rsid w:val="BFBFDD82"/>
    <w:rsid w:val="BFBFF2F8"/>
    <w:rsid w:val="BFCA6B0F"/>
    <w:rsid w:val="BFDE65BA"/>
    <w:rsid w:val="BFDE87D0"/>
    <w:rsid w:val="BFDE9DC7"/>
    <w:rsid w:val="BFDEA2F9"/>
    <w:rsid w:val="BFDF17E4"/>
    <w:rsid w:val="BFDFC5F6"/>
    <w:rsid w:val="BFEC799F"/>
    <w:rsid w:val="BFEE2123"/>
    <w:rsid w:val="BFF35AB7"/>
    <w:rsid w:val="BFFB4046"/>
    <w:rsid w:val="BFFDC8CB"/>
    <w:rsid w:val="BFFDD4FA"/>
    <w:rsid w:val="BFFDD91F"/>
    <w:rsid w:val="BFFE60F2"/>
    <w:rsid w:val="BFFF52B0"/>
    <w:rsid w:val="BFFFCE66"/>
    <w:rsid w:val="C2E65958"/>
    <w:rsid w:val="C7B380E7"/>
    <w:rsid w:val="C7B4CED4"/>
    <w:rsid w:val="C7BADF7A"/>
    <w:rsid w:val="C7FE3422"/>
    <w:rsid w:val="C7FE8CC8"/>
    <w:rsid w:val="CAFEC91A"/>
    <w:rsid w:val="CB2FF23A"/>
    <w:rsid w:val="CBDF2B83"/>
    <w:rsid w:val="CBEF189C"/>
    <w:rsid w:val="CBEF9C5C"/>
    <w:rsid w:val="CD1BBDF3"/>
    <w:rsid w:val="CE4D6525"/>
    <w:rsid w:val="CE9C1C63"/>
    <w:rsid w:val="CFDFA9DC"/>
    <w:rsid w:val="CFE79E35"/>
    <w:rsid w:val="CFFDEDC3"/>
    <w:rsid w:val="CFFFC643"/>
    <w:rsid w:val="D1FC2D24"/>
    <w:rsid w:val="D23F2D48"/>
    <w:rsid w:val="D2F7E50D"/>
    <w:rsid w:val="D5FACAD5"/>
    <w:rsid w:val="D5FEC03F"/>
    <w:rsid w:val="D5FFFC04"/>
    <w:rsid w:val="D6577636"/>
    <w:rsid w:val="D65DA449"/>
    <w:rsid w:val="D76DDC0B"/>
    <w:rsid w:val="D77FE7D3"/>
    <w:rsid w:val="D795C38D"/>
    <w:rsid w:val="D7AB998C"/>
    <w:rsid w:val="D7CFC6B9"/>
    <w:rsid w:val="D7DBB342"/>
    <w:rsid w:val="D7EFA29B"/>
    <w:rsid w:val="D7F7A5B0"/>
    <w:rsid w:val="D7FD697A"/>
    <w:rsid w:val="D7FF6D7F"/>
    <w:rsid w:val="D89F41A5"/>
    <w:rsid w:val="D8D7EA43"/>
    <w:rsid w:val="D9AEF4FC"/>
    <w:rsid w:val="D9E51A86"/>
    <w:rsid w:val="DABF11A9"/>
    <w:rsid w:val="DAEC65E5"/>
    <w:rsid w:val="DAEFFE22"/>
    <w:rsid w:val="DB3F1D02"/>
    <w:rsid w:val="DB511E72"/>
    <w:rsid w:val="DB6F6C99"/>
    <w:rsid w:val="DB970DFE"/>
    <w:rsid w:val="DBB32118"/>
    <w:rsid w:val="DBF7B4D0"/>
    <w:rsid w:val="DBFD5F4C"/>
    <w:rsid w:val="DC6F1EEA"/>
    <w:rsid w:val="DDAF40A4"/>
    <w:rsid w:val="DDBD68F8"/>
    <w:rsid w:val="DDC4BB73"/>
    <w:rsid w:val="DDDA7006"/>
    <w:rsid w:val="DDDE69D2"/>
    <w:rsid w:val="DDF541C3"/>
    <w:rsid w:val="DDF83D3E"/>
    <w:rsid w:val="DDFDBFE7"/>
    <w:rsid w:val="DDFFFD3C"/>
    <w:rsid w:val="DE79BC23"/>
    <w:rsid w:val="DEBFD841"/>
    <w:rsid w:val="DED285F9"/>
    <w:rsid w:val="DEDF25A2"/>
    <w:rsid w:val="DEEFE987"/>
    <w:rsid w:val="DEF4A549"/>
    <w:rsid w:val="DF624B06"/>
    <w:rsid w:val="DF633E2B"/>
    <w:rsid w:val="DF6E3CB9"/>
    <w:rsid w:val="DF6F21A1"/>
    <w:rsid w:val="DF6F6EF4"/>
    <w:rsid w:val="DF76D87C"/>
    <w:rsid w:val="DF794FDF"/>
    <w:rsid w:val="DF7D0DA1"/>
    <w:rsid w:val="DF7D3977"/>
    <w:rsid w:val="DF7E9D04"/>
    <w:rsid w:val="DF7F1818"/>
    <w:rsid w:val="DF7F20D1"/>
    <w:rsid w:val="DF9EBF3A"/>
    <w:rsid w:val="DFB7B83C"/>
    <w:rsid w:val="DFBF1C6E"/>
    <w:rsid w:val="DFBFA653"/>
    <w:rsid w:val="DFCEF229"/>
    <w:rsid w:val="DFD9C4F4"/>
    <w:rsid w:val="DFE4BC93"/>
    <w:rsid w:val="DFEF0CFC"/>
    <w:rsid w:val="DFEF82ED"/>
    <w:rsid w:val="DFEF8619"/>
    <w:rsid w:val="DFF4D64E"/>
    <w:rsid w:val="DFF7D1A1"/>
    <w:rsid w:val="DFFCB3CA"/>
    <w:rsid w:val="DFFEAF2D"/>
    <w:rsid w:val="DFFF8499"/>
    <w:rsid w:val="DFFF9C1F"/>
    <w:rsid w:val="DFFFADBF"/>
    <w:rsid w:val="DFFFB6EA"/>
    <w:rsid w:val="DFFFB711"/>
    <w:rsid w:val="E1B8B77E"/>
    <w:rsid w:val="E1E76C38"/>
    <w:rsid w:val="E3AF7B9E"/>
    <w:rsid w:val="E3F9F9EA"/>
    <w:rsid w:val="E4FFAC38"/>
    <w:rsid w:val="E53F1ED3"/>
    <w:rsid w:val="E5DEC0AE"/>
    <w:rsid w:val="E5FE6B65"/>
    <w:rsid w:val="E6D95D16"/>
    <w:rsid w:val="E6FD682F"/>
    <w:rsid w:val="E73F53DF"/>
    <w:rsid w:val="E752E221"/>
    <w:rsid w:val="E776336F"/>
    <w:rsid w:val="E77F185E"/>
    <w:rsid w:val="E77F7867"/>
    <w:rsid w:val="E79DB51D"/>
    <w:rsid w:val="E7CBA05A"/>
    <w:rsid w:val="E7D55E71"/>
    <w:rsid w:val="E7D7506C"/>
    <w:rsid w:val="E7DB5FD2"/>
    <w:rsid w:val="E7DF3D3E"/>
    <w:rsid w:val="E7E39F98"/>
    <w:rsid w:val="E7FE46B4"/>
    <w:rsid w:val="E8773242"/>
    <w:rsid w:val="E8DB0373"/>
    <w:rsid w:val="E8F837B2"/>
    <w:rsid w:val="E9C3978A"/>
    <w:rsid w:val="E9D2451E"/>
    <w:rsid w:val="EABF8F29"/>
    <w:rsid w:val="EAFD6770"/>
    <w:rsid w:val="EBBA07AC"/>
    <w:rsid w:val="EBEF4F72"/>
    <w:rsid w:val="EBF6A83E"/>
    <w:rsid w:val="EBFBCDF9"/>
    <w:rsid w:val="EC6F1589"/>
    <w:rsid w:val="ECFB11AD"/>
    <w:rsid w:val="EDBB1183"/>
    <w:rsid w:val="EDBF1A88"/>
    <w:rsid w:val="EDD54F27"/>
    <w:rsid w:val="EDD9988A"/>
    <w:rsid w:val="EDEBDBDD"/>
    <w:rsid w:val="EDFF733E"/>
    <w:rsid w:val="EE77960A"/>
    <w:rsid w:val="EE7AE806"/>
    <w:rsid w:val="EE7B246E"/>
    <w:rsid w:val="EE9EDF13"/>
    <w:rsid w:val="EEAFD02F"/>
    <w:rsid w:val="EED33256"/>
    <w:rsid w:val="EEDFB0FD"/>
    <w:rsid w:val="EEFA74FE"/>
    <w:rsid w:val="EEFF15FA"/>
    <w:rsid w:val="EF17CD35"/>
    <w:rsid w:val="EF372A3F"/>
    <w:rsid w:val="EF753F12"/>
    <w:rsid w:val="EF77A1FF"/>
    <w:rsid w:val="EF7F5607"/>
    <w:rsid w:val="EF970CDA"/>
    <w:rsid w:val="EFB60DBB"/>
    <w:rsid w:val="EFBF23BB"/>
    <w:rsid w:val="EFBFACD4"/>
    <w:rsid w:val="EFD2682A"/>
    <w:rsid w:val="EFEBAB5B"/>
    <w:rsid w:val="EFEE924C"/>
    <w:rsid w:val="EFF0C269"/>
    <w:rsid w:val="EFF3E78B"/>
    <w:rsid w:val="EFF3FD41"/>
    <w:rsid w:val="EFF45EE8"/>
    <w:rsid w:val="EFF5ABF2"/>
    <w:rsid w:val="EFF86C96"/>
    <w:rsid w:val="EFFDD87F"/>
    <w:rsid w:val="F0B7155A"/>
    <w:rsid w:val="F11F5A27"/>
    <w:rsid w:val="F1BE3A0B"/>
    <w:rsid w:val="F1BFBE0D"/>
    <w:rsid w:val="F1E7DCEA"/>
    <w:rsid w:val="F1F3CF73"/>
    <w:rsid w:val="F1FA69F3"/>
    <w:rsid w:val="F23E02B5"/>
    <w:rsid w:val="F2ADC341"/>
    <w:rsid w:val="F2BA4DC5"/>
    <w:rsid w:val="F2BF6918"/>
    <w:rsid w:val="F3757778"/>
    <w:rsid w:val="F37E6E17"/>
    <w:rsid w:val="F396C8CC"/>
    <w:rsid w:val="F3CF3102"/>
    <w:rsid w:val="F3DB9F3A"/>
    <w:rsid w:val="F3DE90E5"/>
    <w:rsid w:val="F3F7F53E"/>
    <w:rsid w:val="F3F9F2FD"/>
    <w:rsid w:val="F3FDB845"/>
    <w:rsid w:val="F3FEE8FB"/>
    <w:rsid w:val="F43B9430"/>
    <w:rsid w:val="F4C14380"/>
    <w:rsid w:val="F4EF33A9"/>
    <w:rsid w:val="F4FC7D6A"/>
    <w:rsid w:val="F4FD6B81"/>
    <w:rsid w:val="F56DC59F"/>
    <w:rsid w:val="F5DE7DE3"/>
    <w:rsid w:val="F5EFCF6C"/>
    <w:rsid w:val="F5EFF3D0"/>
    <w:rsid w:val="F5F2BFB0"/>
    <w:rsid w:val="F67FBFE1"/>
    <w:rsid w:val="F69723CF"/>
    <w:rsid w:val="F6AF3968"/>
    <w:rsid w:val="F6B74593"/>
    <w:rsid w:val="F6B98023"/>
    <w:rsid w:val="F6DD516D"/>
    <w:rsid w:val="F6DD7019"/>
    <w:rsid w:val="F6FC75E8"/>
    <w:rsid w:val="F6FDC3D5"/>
    <w:rsid w:val="F73CABEF"/>
    <w:rsid w:val="F73F688B"/>
    <w:rsid w:val="F75C00C2"/>
    <w:rsid w:val="F76BF5D3"/>
    <w:rsid w:val="F76C5603"/>
    <w:rsid w:val="F777DCBC"/>
    <w:rsid w:val="F77F72A6"/>
    <w:rsid w:val="F77FAE89"/>
    <w:rsid w:val="F7A7F64F"/>
    <w:rsid w:val="F7AC6010"/>
    <w:rsid w:val="F7BAC2AD"/>
    <w:rsid w:val="F7C8B8C1"/>
    <w:rsid w:val="F7D80FB7"/>
    <w:rsid w:val="F7DC56FC"/>
    <w:rsid w:val="F7DC73BA"/>
    <w:rsid w:val="F7DF69C0"/>
    <w:rsid w:val="F7E449EE"/>
    <w:rsid w:val="F7E7441C"/>
    <w:rsid w:val="F7FB5588"/>
    <w:rsid w:val="F7FC5132"/>
    <w:rsid w:val="F7FE905D"/>
    <w:rsid w:val="F7FFD160"/>
    <w:rsid w:val="F8BED9D3"/>
    <w:rsid w:val="F8EBA8AB"/>
    <w:rsid w:val="F93F1C57"/>
    <w:rsid w:val="F95F86C8"/>
    <w:rsid w:val="F97D5253"/>
    <w:rsid w:val="F9ADFA05"/>
    <w:rsid w:val="F9AE3B8C"/>
    <w:rsid w:val="F9BC6AD9"/>
    <w:rsid w:val="F9CFD2E9"/>
    <w:rsid w:val="F9F6F986"/>
    <w:rsid w:val="F9F7B927"/>
    <w:rsid w:val="F9F9CEB4"/>
    <w:rsid w:val="F9FDF196"/>
    <w:rsid w:val="F9FF26FA"/>
    <w:rsid w:val="F9FF43B8"/>
    <w:rsid w:val="FA04B812"/>
    <w:rsid w:val="FA0D6CA5"/>
    <w:rsid w:val="FA17AC7A"/>
    <w:rsid w:val="FA79DA2F"/>
    <w:rsid w:val="FA81CEF7"/>
    <w:rsid w:val="FAFFD96E"/>
    <w:rsid w:val="FB33F5E6"/>
    <w:rsid w:val="FB4FB799"/>
    <w:rsid w:val="FB9D7948"/>
    <w:rsid w:val="FBA8C51C"/>
    <w:rsid w:val="FBD71CDC"/>
    <w:rsid w:val="FBD74E70"/>
    <w:rsid w:val="FBDDB917"/>
    <w:rsid w:val="FBDE746C"/>
    <w:rsid w:val="FBE6ECA5"/>
    <w:rsid w:val="FBEB715A"/>
    <w:rsid w:val="FBEE6B81"/>
    <w:rsid w:val="FBEF2387"/>
    <w:rsid w:val="FBF67E5C"/>
    <w:rsid w:val="FBF70825"/>
    <w:rsid w:val="FBF73EC7"/>
    <w:rsid w:val="FBFF1DD5"/>
    <w:rsid w:val="FBFF2230"/>
    <w:rsid w:val="FBFF5246"/>
    <w:rsid w:val="FBFF6ECB"/>
    <w:rsid w:val="FBFF89DF"/>
    <w:rsid w:val="FC6B70D4"/>
    <w:rsid w:val="FCEFED95"/>
    <w:rsid w:val="FCF70F2B"/>
    <w:rsid w:val="FCFF09B3"/>
    <w:rsid w:val="FCFF41F0"/>
    <w:rsid w:val="FCFFBF74"/>
    <w:rsid w:val="FD07A389"/>
    <w:rsid w:val="FD23DFBD"/>
    <w:rsid w:val="FD3FB0FD"/>
    <w:rsid w:val="FD4BD30B"/>
    <w:rsid w:val="FD5A8A3E"/>
    <w:rsid w:val="FD652625"/>
    <w:rsid w:val="FD7D5F90"/>
    <w:rsid w:val="FD9E57F1"/>
    <w:rsid w:val="FDB68B33"/>
    <w:rsid w:val="FDBE6875"/>
    <w:rsid w:val="FDC76148"/>
    <w:rsid w:val="FDCD32FE"/>
    <w:rsid w:val="FDDFD7DF"/>
    <w:rsid w:val="FDF59E29"/>
    <w:rsid w:val="FDF69CC3"/>
    <w:rsid w:val="FDF71682"/>
    <w:rsid w:val="FDFCAD48"/>
    <w:rsid w:val="FDFFC3D1"/>
    <w:rsid w:val="FE3E821B"/>
    <w:rsid w:val="FE4ECB99"/>
    <w:rsid w:val="FE664381"/>
    <w:rsid w:val="FE738CAD"/>
    <w:rsid w:val="FE762975"/>
    <w:rsid w:val="FE7BE0C4"/>
    <w:rsid w:val="FE7DD148"/>
    <w:rsid w:val="FEAE00A6"/>
    <w:rsid w:val="FEBF4FF7"/>
    <w:rsid w:val="FEBF6B62"/>
    <w:rsid w:val="FEC3552D"/>
    <w:rsid w:val="FEC777A1"/>
    <w:rsid w:val="FECE81BD"/>
    <w:rsid w:val="FED1AD36"/>
    <w:rsid w:val="FED7F1BD"/>
    <w:rsid w:val="FEDF3970"/>
    <w:rsid w:val="FEDF9583"/>
    <w:rsid w:val="FEEEDD4D"/>
    <w:rsid w:val="FEF355B3"/>
    <w:rsid w:val="FEF7D77B"/>
    <w:rsid w:val="FEFAFA8B"/>
    <w:rsid w:val="FEFCF827"/>
    <w:rsid w:val="FEFD37E5"/>
    <w:rsid w:val="FEFDFCAD"/>
    <w:rsid w:val="FEFF6BE9"/>
    <w:rsid w:val="FEFF78DF"/>
    <w:rsid w:val="FEFFE5E0"/>
    <w:rsid w:val="FEFFF934"/>
    <w:rsid w:val="FF23A774"/>
    <w:rsid w:val="FF26F4CC"/>
    <w:rsid w:val="FF34382B"/>
    <w:rsid w:val="FF354C10"/>
    <w:rsid w:val="FF3D506F"/>
    <w:rsid w:val="FF3E0C70"/>
    <w:rsid w:val="FF577E31"/>
    <w:rsid w:val="FF591539"/>
    <w:rsid w:val="FF5AF0D8"/>
    <w:rsid w:val="FF5CF483"/>
    <w:rsid w:val="FF5FD77A"/>
    <w:rsid w:val="FF6BAC63"/>
    <w:rsid w:val="FF6D8862"/>
    <w:rsid w:val="FF794689"/>
    <w:rsid w:val="FF7B536A"/>
    <w:rsid w:val="FF7B7607"/>
    <w:rsid w:val="FF7DB7AD"/>
    <w:rsid w:val="FF7E2272"/>
    <w:rsid w:val="FF7F839C"/>
    <w:rsid w:val="FF7FC26A"/>
    <w:rsid w:val="FF8985E2"/>
    <w:rsid w:val="FF934785"/>
    <w:rsid w:val="FF99927F"/>
    <w:rsid w:val="FF9DD08C"/>
    <w:rsid w:val="FFAE0235"/>
    <w:rsid w:val="FFAEEADE"/>
    <w:rsid w:val="FFAF9D88"/>
    <w:rsid w:val="FFAFB0B0"/>
    <w:rsid w:val="FFB656A5"/>
    <w:rsid w:val="FFB73155"/>
    <w:rsid w:val="FFB77F84"/>
    <w:rsid w:val="FFBE8F3B"/>
    <w:rsid w:val="FFBED6F5"/>
    <w:rsid w:val="FFBF1D64"/>
    <w:rsid w:val="FFBF2D9A"/>
    <w:rsid w:val="FFBFA557"/>
    <w:rsid w:val="FFBFB47F"/>
    <w:rsid w:val="FFBFCEB0"/>
    <w:rsid w:val="FFC72FFD"/>
    <w:rsid w:val="FFCFC524"/>
    <w:rsid w:val="FFD4AF12"/>
    <w:rsid w:val="FFD764F7"/>
    <w:rsid w:val="FFDF0535"/>
    <w:rsid w:val="FFDFA82B"/>
    <w:rsid w:val="FFDFB6F2"/>
    <w:rsid w:val="FFE6E1A0"/>
    <w:rsid w:val="FFEB0A23"/>
    <w:rsid w:val="FFED65FD"/>
    <w:rsid w:val="FFEFA157"/>
    <w:rsid w:val="FFEFFD41"/>
    <w:rsid w:val="FFF276E1"/>
    <w:rsid w:val="FFF3DD22"/>
    <w:rsid w:val="FFF7501D"/>
    <w:rsid w:val="FFF7F07E"/>
    <w:rsid w:val="FFF8A5FA"/>
    <w:rsid w:val="FFF9317F"/>
    <w:rsid w:val="FFFA21DF"/>
    <w:rsid w:val="FFFBBC61"/>
    <w:rsid w:val="FFFBCE7B"/>
    <w:rsid w:val="FFFC1C18"/>
    <w:rsid w:val="FFFD6A9B"/>
    <w:rsid w:val="FFFD6D5C"/>
    <w:rsid w:val="FFFD92EF"/>
    <w:rsid w:val="FFFE5A16"/>
    <w:rsid w:val="FFFEFEC3"/>
    <w:rsid w:val="FFFF06D9"/>
    <w:rsid w:val="FFFF301D"/>
    <w:rsid w:val="FFFF3DD6"/>
    <w:rsid w:val="FFFF4BF9"/>
    <w:rsid w:val="FFFFA70B"/>
    <w:rsid w:val="FFFFA957"/>
    <w:rsid w:val="FFFFBFCF"/>
    <w:rsid w:val="FFFFDD4B"/>
    <w:rsid w:val="FFFFFA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nhideWhenUsed="0" w:uiPriority="0" w:name="footnote text"/>
    <w:lsdException w:qFormat="1" w:uiPriority="0" w:semiHidden="0" w:name="annotation text"/>
    <w:lsdException w:qFormat="1" w:unhideWhenUsed="0" w:uiPriority="0" w:semiHidden="0" w:name="header"/>
    <w:lsdException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nhideWhenUsed="0"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nhideWhenUsed="0" w:uiPriority="0" w:semiHidden="0" w:name="Body Text 2"/>
    <w:lsdException w:uiPriority="0" w:name="Body Text 3"/>
    <w:lsdException w:uiPriority="0" w:name="Body Text Indent 2"/>
    <w:lsdException w:uiPriority="0" w:name="Body Text Indent 3"/>
    <w:lsdException w:uiPriority="0" w:name="Block Text"/>
    <w:lsdException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qFormat="1" w:unhideWhenUsed="0" w:uiPriority="39" w:semiHidden="0" w:name="Table Grid"/>
    <w:lsdException w:uiPriority="0"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tabs>
        <w:tab w:val="clear" w:pos="432"/>
      </w:tabs>
      <w:spacing w:before="120"/>
      <w:outlineLvl w:val="0"/>
    </w:pPr>
    <w:rPr>
      <w:b/>
      <w:bCs/>
      <w:sz w:val="28"/>
      <w:szCs w:val="28"/>
    </w:rPr>
  </w:style>
  <w:style w:type="paragraph" w:styleId="3">
    <w:name w:val="heading 2"/>
    <w:basedOn w:val="2"/>
    <w:next w:val="1"/>
    <w:qFormat/>
    <w:uiPriority w:val="9"/>
    <w:pPr>
      <w:keepNext/>
      <w:numPr>
        <w:ilvl w:val="1"/>
        <w:numId w:val="1"/>
      </w:numPr>
      <w:spacing w:before="120"/>
      <w:outlineLvl w:val="1"/>
    </w:pPr>
    <w:rPr>
      <w:sz w:val="24"/>
    </w:rPr>
  </w:style>
  <w:style w:type="paragraph" w:styleId="4">
    <w:name w:val="heading 3"/>
    <w:basedOn w:val="1"/>
    <w:next w:val="5"/>
    <w:qFormat/>
    <w:uiPriority w:val="0"/>
    <w:pPr>
      <w:keepNext/>
      <w:numPr>
        <w:ilvl w:val="2"/>
        <w:numId w:val="1"/>
      </w:numPr>
      <w:tabs>
        <w:tab w:val="left" w:pos="432"/>
      </w:tabs>
      <w:spacing w:before="120"/>
      <w:outlineLvl w:val="2"/>
    </w:pPr>
    <w:rPr>
      <w:b/>
    </w:rPr>
  </w:style>
  <w:style w:type="paragraph" w:styleId="6">
    <w:name w:val="heading 4"/>
    <w:basedOn w:val="1"/>
    <w:next w:val="1"/>
    <w:qFormat/>
    <w:uiPriority w:val="9"/>
    <w:pPr>
      <w:keepNext/>
      <w:numPr>
        <w:ilvl w:val="3"/>
        <w:numId w:val="1"/>
      </w:numPr>
      <w:tabs>
        <w:tab w:val="clear" w:pos="864"/>
      </w:tabs>
      <w:spacing w:before="120"/>
      <w:ind w:left="720" w:hanging="720"/>
      <w:outlineLvl w:val="3"/>
    </w:pPr>
    <w:rPr>
      <w:b/>
      <w:bCs/>
      <w:szCs w:val="28"/>
    </w:rPr>
  </w:style>
  <w:style w:type="paragraph" w:styleId="7">
    <w:name w:val="heading 5"/>
    <w:basedOn w:val="1"/>
    <w:next w:val="1"/>
    <w:qFormat/>
    <w:uiPriority w:val="9"/>
    <w:pPr>
      <w:keepNext/>
      <w:numPr>
        <w:ilvl w:val="4"/>
        <w:numId w:val="1"/>
      </w:numPr>
      <w:tabs>
        <w:tab w:val="clear" w:pos="1008"/>
      </w:tabs>
      <w:spacing w:before="120"/>
      <w:ind w:left="720" w:hanging="720"/>
      <w:outlineLvl w:val="4"/>
    </w:pPr>
    <w:rPr>
      <w:b/>
      <w:bCs/>
      <w:i/>
      <w:iCs/>
      <w:szCs w:val="26"/>
    </w:rPr>
  </w:style>
  <w:style w:type="paragraph" w:styleId="8">
    <w:name w:val="heading 6"/>
    <w:basedOn w:val="1"/>
    <w:next w:val="1"/>
    <w:qFormat/>
    <w:uiPriority w:val="9"/>
    <w:pPr>
      <w:numPr>
        <w:ilvl w:val="5"/>
        <w:numId w:val="1"/>
      </w:numPr>
      <w:spacing w:before="240" w:after="60"/>
      <w:outlineLvl w:val="5"/>
    </w:pPr>
    <w:rPr>
      <w:b/>
      <w:bCs/>
    </w:rPr>
  </w:style>
  <w:style w:type="paragraph" w:styleId="9">
    <w:name w:val="heading 7"/>
    <w:basedOn w:val="1"/>
    <w:next w:val="1"/>
    <w:qFormat/>
    <w:uiPriority w:val="9"/>
    <w:pPr>
      <w:numPr>
        <w:ilvl w:val="6"/>
        <w:numId w:val="1"/>
      </w:numPr>
      <w:spacing w:before="240" w:after="60"/>
      <w:outlineLvl w:val="6"/>
    </w:pPr>
    <w:rPr>
      <w:sz w:val="24"/>
      <w:szCs w:val="24"/>
    </w:rPr>
  </w:style>
  <w:style w:type="paragraph" w:styleId="10">
    <w:name w:val="heading 8"/>
    <w:basedOn w:val="1"/>
    <w:next w:val="1"/>
    <w:qFormat/>
    <w:uiPriority w:val="9"/>
    <w:pPr>
      <w:numPr>
        <w:ilvl w:val="7"/>
        <w:numId w:val="1"/>
      </w:numPr>
      <w:spacing w:before="240" w:after="60"/>
      <w:outlineLvl w:val="7"/>
    </w:pPr>
    <w:rPr>
      <w:i/>
      <w:iCs/>
      <w:sz w:val="24"/>
      <w:szCs w:val="24"/>
    </w:rPr>
  </w:style>
  <w:style w:type="paragraph" w:styleId="11">
    <w:name w:val="heading 9"/>
    <w:basedOn w:val="1"/>
    <w:next w:val="1"/>
    <w:qFormat/>
    <w:uiPriority w:val="9"/>
    <w:pPr>
      <w:numPr>
        <w:ilvl w:val="8"/>
        <w:numId w:val="1"/>
      </w:numPr>
      <w:spacing w:before="240" w:after="60"/>
      <w:outlineLvl w:val="8"/>
    </w:pPr>
    <w:rPr>
      <w:rFonts w:ascii="Arial" w:hAnsi="Arial" w:cs="Arial"/>
    </w:rPr>
  </w:style>
  <w:style w:type="character" w:default="1" w:styleId="29">
    <w:name w:val="Default Paragraph Font"/>
    <w:semiHidden/>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5">
    <w:name w:val="Body Text"/>
    <w:basedOn w:val="1"/>
    <w:link w:val="37"/>
    <w:uiPriority w:val="0"/>
    <w:rPr>
      <w:sz w:val="20"/>
      <w:szCs w:val="20"/>
    </w:rPr>
  </w:style>
  <w:style w:type="paragraph" w:styleId="12">
    <w:name w:val="List 3"/>
    <w:basedOn w:val="1"/>
    <w:semiHidden/>
    <w:unhideWhenUsed/>
    <w:uiPriority w:val="0"/>
    <w:pPr>
      <w:ind w:left="100" w:leftChars="400" w:hanging="200" w:hangingChars="200"/>
      <w:contextualSpacing/>
    </w:pPr>
  </w:style>
  <w:style w:type="paragraph" w:styleId="13">
    <w:name w:val="caption"/>
    <w:basedOn w:val="1"/>
    <w:next w:val="1"/>
    <w:link w:val="39"/>
    <w:qFormat/>
    <w:uiPriority w:val="0"/>
    <w:pPr>
      <w:jc w:val="center"/>
    </w:pPr>
    <w:rPr>
      <w:b/>
      <w:bCs/>
      <w:sz w:val="20"/>
      <w:szCs w:val="20"/>
    </w:rPr>
  </w:style>
  <w:style w:type="paragraph" w:styleId="14">
    <w:name w:val="List Bullet"/>
    <w:basedOn w:val="15"/>
    <w:uiPriority w:val="0"/>
    <w:pPr>
      <w:autoSpaceDE/>
      <w:autoSpaceDN/>
      <w:adjustRightInd/>
      <w:spacing w:after="180"/>
      <w:ind w:left="568" w:hanging="284"/>
      <w:jc w:val="left"/>
    </w:pPr>
    <w:rPr>
      <w:sz w:val="20"/>
      <w:szCs w:val="20"/>
      <w:lang w:val="en-GB"/>
    </w:rPr>
  </w:style>
  <w:style w:type="paragraph" w:styleId="15">
    <w:name w:val="List"/>
    <w:basedOn w:val="1"/>
    <w:uiPriority w:val="0"/>
    <w:pPr>
      <w:ind w:left="360" w:hanging="360"/>
    </w:pPr>
  </w:style>
  <w:style w:type="paragraph" w:styleId="16">
    <w:name w:val="annotation text"/>
    <w:basedOn w:val="1"/>
    <w:link w:val="55"/>
    <w:unhideWhenUsed/>
    <w:qFormat/>
    <w:uiPriority w:val="0"/>
    <w:pPr>
      <w:jc w:val="left"/>
    </w:pPr>
  </w:style>
  <w:style w:type="paragraph" w:styleId="17">
    <w:name w:val="List Bullet 3"/>
    <w:basedOn w:val="1"/>
    <w:uiPriority w:val="0"/>
    <w:pPr>
      <w:numPr>
        <w:ilvl w:val="0"/>
        <w:numId w:val="2"/>
      </w:numPr>
      <w:autoSpaceDE/>
      <w:autoSpaceDN/>
      <w:adjustRightInd/>
      <w:snapToGrid/>
      <w:spacing w:after="240"/>
      <w:jc w:val="left"/>
    </w:pPr>
    <w:rPr>
      <w:rFonts w:eastAsia="Times New Roman"/>
      <w:sz w:val="24"/>
      <w:szCs w:val="24"/>
      <w:lang w:val="zh-CN" w:eastAsia="zh-CN"/>
    </w:rPr>
  </w:style>
  <w:style w:type="paragraph" w:styleId="18">
    <w:name w:val="List 2"/>
    <w:basedOn w:val="1"/>
    <w:semiHidden/>
    <w:unhideWhenUsed/>
    <w:uiPriority w:val="0"/>
    <w:pPr>
      <w:ind w:left="100" w:leftChars="200" w:hanging="200" w:hangingChars="200"/>
      <w:contextualSpacing/>
    </w:pPr>
  </w:style>
  <w:style w:type="paragraph" w:styleId="19">
    <w:name w:val="List Bullet 2"/>
    <w:basedOn w:val="1"/>
    <w:uiPriority w:val="0"/>
    <w:pPr>
      <w:numPr>
        <w:ilvl w:val="0"/>
        <w:numId w:val="3"/>
      </w:numPr>
      <w:autoSpaceDE/>
      <w:autoSpaceDN/>
      <w:adjustRightInd/>
      <w:snapToGrid/>
      <w:spacing w:after="240"/>
      <w:jc w:val="left"/>
    </w:pPr>
    <w:rPr>
      <w:rFonts w:eastAsia="Times New Roman"/>
      <w:sz w:val="24"/>
      <w:szCs w:val="24"/>
      <w:lang w:val="zh-CN" w:eastAsia="zh-CN"/>
    </w:rPr>
  </w:style>
  <w:style w:type="paragraph" w:styleId="20">
    <w:name w:val="Balloon Text"/>
    <w:basedOn w:val="1"/>
    <w:semiHidden/>
    <w:uiPriority w:val="0"/>
    <w:rPr>
      <w:rFonts w:ascii="Tahoma" w:hAnsi="Tahoma" w:cs="Tahoma"/>
      <w:sz w:val="16"/>
      <w:szCs w:val="16"/>
    </w:rPr>
  </w:style>
  <w:style w:type="paragraph" w:styleId="21">
    <w:name w:val="footer"/>
    <w:basedOn w:val="1"/>
    <w:link w:val="46"/>
    <w:uiPriority w:val="99"/>
    <w:pPr>
      <w:tabs>
        <w:tab w:val="center" w:pos="4680"/>
        <w:tab w:val="right" w:pos="9360"/>
      </w:tabs>
    </w:pPr>
  </w:style>
  <w:style w:type="paragraph" w:styleId="22">
    <w:name w:val="header"/>
    <w:basedOn w:val="1"/>
    <w:link w:val="45"/>
    <w:qFormat/>
    <w:uiPriority w:val="0"/>
    <w:pPr>
      <w:tabs>
        <w:tab w:val="center" w:pos="4680"/>
        <w:tab w:val="right" w:pos="9360"/>
      </w:tabs>
    </w:pPr>
  </w:style>
  <w:style w:type="paragraph" w:styleId="23">
    <w:name w:val="footnote text"/>
    <w:basedOn w:val="1"/>
    <w:semiHidden/>
    <w:uiPriority w:val="0"/>
    <w:rPr>
      <w:sz w:val="20"/>
      <w:szCs w:val="20"/>
    </w:rPr>
  </w:style>
  <w:style w:type="paragraph" w:styleId="24">
    <w:name w:val="Body Text 2"/>
    <w:basedOn w:val="1"/>
    <w:uiPriority w:val="0"/>
    <w:pPr>
      <w:spacing w:after="0"/>
      <w:jc w:val="left"/>
    </w:pPr>
    <w:rPr>
      <w:szCs w:val="20"/>
    </w:rPr>
  </w:style>
  <w:style w:type="paragraph" w:styleId="25">
    <w:name w:val="Normal (Web)"/>
    <w:basedOn w:val="1"/>
    <w:unhideWhenUsed/>
    <w:uiPriority w:val="99"/>
    <w:pPr>
      <w:autoSpaceDE/>
      <w:autoSpaceDN/>
      <w:adjustRightInd/>
      <w:snapToGrid/>
      <w:spacing w:before="100" w:beforeAutospacing="1" w:after="100" w:afterAutospacing="1"/>
      <w:jc w:val="left"/>
    </w:pPr>
    <w:rPr>
      <w:rFonts w:eastAsia="Times New Roman"/>
      <w:sz w:val="24"/>
      <w:szCs w:val="24"/>
    </w:rPr>
  </w:style>
  <w:style w:type="paragraph" w:styleId="26">
    <w:name w:val="annotation subject"/>
    <w:basedOn w:val="16"/>
    <w:next w:val="16"/>
    <w:link w:val="56"/>
    <w:semiHidden/>
    <w:unhideWhenUsed/>
    <w:uiPriority w:val="0"/>
    <w:rPr>
      <w:b/>
      <w:bCs/>
    </w:rPr>
  </w:style>
  <w:style w:type="table" w:styleId="28">
    <w:name w:val="Table Grid"/>
    <w:basedOn w:val="27"/>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basedOn w:val="29"/>
    <w:qFormat/>
    <w:uiPriority w:val="0"/>
    <w:rPr>
      <w:b/>
    </w:rPr>
  </w:style>
  <w:style w:type="character" w:styleId="31">
    <w:name w:val="FollowedHyperlink"/>
    <w:basedOn w:val="29"/>
    <w:uiPriority w:val="0"/>
    <w:rPr>
      <w:color w:val="800080"/>
      <w:u w:val="single"/>
    </w:rPr>
  </w:style>
  <w:style w:type="character" w:styleId="32">
    <w:name w:val="Emphasis"/>
    <w:basedOn w:val="29"/>
    <w:qFormat/>
    <w:uiPriority w:val="0"/>
    <w:rPr>
      <w:i/>
    </w:rPr>
  </w:style>
  <w:style w:type="character" w:styleId="33">
    <w:name w:val="Hyperlink"/>
    <w:basedOn w:val="34"/>
    <w:uiPriority w:val="99"/>
    <w:rPr>
      <w:color w:val="0000FF"/>
      <w:u w:val="single"/>
    </w:rPr>
  </w:style>
  <w:style w:type="character" w:customStyle="1" w:styleId="34">
    <w:name w:val="Body Text Char"/>
    <w:basedOn w:val="29"/>
    <w:link w:val="5"/>
    <w:uiPriority w:val="0"/>
  </w:style>
  <w:style w:type="character" w:styleId="35">
    <w:name w:val="annotation reference"/>
    <w:basedOn w:val="29"/>
    <w:unhideWhenUsed/>
    <w:qFormat/>
    <w:uiPriority w:val="0"/>
    <w:rPr>
      <w:sz w:val="21"/>
      <w:szCs w:val="21"/>
    </w:rPr>
  </w:style>
  <w:style w:type="character" w:styleId="36">
    <w:name w:val="footnote reference"/>
    <w:basedOn w:val="29"/>
    <w:semiHidden/>
    <w:uiPriority w:val="0"/>
    <w:rPr>
      <w:vertAlign w:val="superscript"/>
    </w:rPr>
  </w:style>
  <w:style w:type="character" w:customStyle="1" w:styleId="37">
    <w:name w:val="正文文本 字符1"/>
    <w:basedOn w:val="29"/>
    <w:link w:val="5"/>
    <w:uiPriority w:val="0"/>
  </w:style>
  <w:style w:type="character" w:customStyle="1" w:styleId="38">
    <w:name w:val="正文文本 字符"/>
    <w:basedOn w:val="29"/>
    <w:uiPriority w:val="0"/>
  </w:style>
  <w:style w:type="character" w:customStyle="1" w:styleId="39">
    <w:name w:val="题注 字符"/>
    <w:basedOn w:val="29"/>
    <w:link w:val="13"/>
    <w:uiPriority w:val="0"/>
    <w:rPr>
      <w:b/>
      <w:bCs/>
    </w:rPr>
  </w:style>
  <w:style w:type="paragraph" w:customStyle="1" w:styleId="40">
    <w:name w:val="References"/>
    <w:basedOn w:val="1"/>
    <w:uiPriority w:val="0"/>
    <w:pPr>
      <w:numPr>
        <w:ilvl w:val="0"/>
        <w:numId w:val="4"/>
      </w:numPr>
      <w:adjustRightInd/>
      <w:spacing w:after="60"/>
    </w:pPr>
    <w:rPr>
      <w:sz w:val="20"/>
      <w:szCs w:val="16"/>
    </w:rPr>
  </w:style>
  <w:style w:type="paragraph" w:customStyle="1" w:styleId="41">
    <w:name w:val="_Style 26"/>
    <w:next w:val="1"/>
    <w:semiHidden/>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2">
    <w:name w:val="Figure"/>
    <w:basedOn w:val="1"/>
    <w:qFormat/>
    <w:uiPriority w:val="0"/>
    <w:pPr>
      <w:keepNext/>
      <w:jc w:val="center"/>
    </w:pPr>
  </w:style>
  <w:style w:type="paragraph" w:customStyle="1" w:styleId="43">
    <w:name w:val="Eqn"/>
    <w:basedOn w:val="1"/>
    <w:qFormat/>
    <w:uiPriority w:val="0"/>
    <w:pPr>
      <w:tabs>
        <w:tab w:val="center" w:pos="4608"/>
        <w:tab w:val="right" w:pos="9216"/>
      </w:tabs>
    </w:pPr>
    <w:rPr>
      <w:lang w:eastAsia="ja-JP"/>
    </w:rPr>
  </w:style>
  <w:style w:type="paragraph" w:customStyle="1" w:styleId="44">
    <w:name w:val="tablecell"/>
    <w:basedOn w:val="1"/>
    <w:qFormat/>
    <w:uiPriority w:val="0"/>
    <w:pPr>
      <w:spacing w:before="20" w:after="20"/>
      <w:jc w:val="left"/>
    </w:pPr>
  </w:style>
  <w:style w:type="character" w:customStyle="1" w:styleId="45">
    <w:name w:val="页眉 字符"/>
    <w:basedOn w:val="29"/>
    <w:link w:val="22"/>
    <w:qFormat/>
    <w:uiPriority w:val="0"/>
    <w:rPr>
      <w:sz w:val="22"/>
      <w:szCs w:val="22"/>
    </w:rPr>
  </w:style>
  <w:style w:type="character" w:customStyle="1" w:styleId="46">
    <w:name w:val="页脚 字符"/>
    <w:basedOn w:val="29"/>
    <w:link w:val="21"/>
    <w:uiPriority w:val="99"/>
    <w:rPr>
      <w:sz w:val="22"/>
      <w:szCs w:val="22"/>
    </w:rPr>
  </w:style>
  <w:style w:type="paragraph" w:customStyle="1" w:styleId="47">
    <w:name w:val="tablecol"/>
    <w:basedOn w:val="44"/>
    <w:qFormat/>
    <w:uiPriority w:val="0"/>
    <w:pPr>
      <w:jc w:val="center"/>
    </w:pPr>
    <w:rPr>
      <w:b/>
    </w:rPr>
  </w:style>
  <w:style w:type="paragraph" w:customStyle="1" w:styleId="48">
    <w:name w:val="B1"/>
    <w:basedOn w:val="15"/>
    <w:link w:val="59"/>
    <w:qFormat/>
    <w:uiPriority w:val="0"/>
    <w:pPr>
      <w:overflowPunct w:val="0"/>
      <w:snapToGrid/>
      <w:spacing w:after="180"/>
      <w:ind w:left="568" w:hanging="284"/>
      <w:jc w:val="left"/>
      <w:textAlignment w:val="baseline"/>
    </w:pPr>
    <w:rPr>
      <w:rFonts w:eastAsia="MS Mincho"/>
      <w:sz w:val="20"/>
      <w:szCs w:val="20"/>
      <w:lang w:val="en-GB"/>
    </w:rPr>
  </w:style>
  <w:style w:type="paragraph" w:customStyle="1" w:styleId="49">
    <w:name w:val="B2"/>
    <w:basedOn w:val="18"/>
    <w:uiPriority w:val="99"/>
    <w:pPr>
      <w:overflowPunct w:val="0"/>
      <w:snapToGrid/>
      <w:spacing w:after="180"/>
      <w:ind w:left="851" w:leftChars="0" w:hanging="284" w:firstLineChars="0"/>
      <w:contextualSpacing w:val="0"/>
      <w:jc w:val="left"/>
      <w:textAlignment w:val="baseline"/>
    </w:pPr>
    <w:rPr>
      <w:rFonts w:eastAsia="MS Mincho"/>
      <w:sz w:val="20"/>
      <w:szCs w:val="20"/>
      <w:lang w:val="en-GB"/>
    </w:rPr>
  </w:style>
  <w:style w:type="paragraph" w:customStyle="1" w:styleId="50">
    <w:name w:val="B3"/>
    <w:basedOn w:val="12"/>
    <w:uiPriority w:val="0"/>
    <w:pPr>
      <w:overflowPunct w:val="0"/>
      <w:snapToGrid/>
      <w:spacing w:after="180"/>
      <w:ind w:left="1135" w:leftChars="0" w:hanging="284" w:firstLineChars="0"/>
      <w:contextualSpacing w:val="0"/>
      <w:jc w:val="left"/>
      <w:textAlignment w:val="baseline"/>
    </w:pPr>
    <w:rPr>
      <w:rFonts w:eastAsia="MS Mincho"/>
      <w:sz w:val="20"/>
      <w:szCs w:val="20"/>
      <w:lang w:val="en-GB"/>
    </w:rPr>
  </w:style>
  <w:style w:type="paragraph" w:styleId="51">
    <w:name w:val="List Paragraph"/>
    <w:basedOn w:val="1"/>
    <w:link w:val="52"/>
    <w:qFormat/>
    <w:uiPriority w:val="34"/>
    <w:pPr>
      <w:autoSpaceDE/>
      <w:autoSpaceDN/>
      <w:adjustRightInd/>
      <w:snapToGrid/>
      <w:spacing w:after="0"/>
      <w:ind w:firstLine="420"/>
      <w:jc w:val="left"/>
    </w:pPr>
    <w:rPr>
      <w:rFonts w:ascii="宋体" w:hAnsi="宋体"/>
      <w:sz w:val="24"/>
      <w:szCs w:val="24"/>
    </w:rPr>
  </w:style>
  <w:style w:type="character" w:customStyle="1" w:styleId="52">
    <w:name w:val="列表段落 字符"/>
    <w:link w:val="51"/>
    <w:qFormat/>
    <w:uiPriority w:val="34"/>
    <w:rPr>
      <w:rFonts w:ascii="宋体" w:hAnsi="宋体"/>
      <w:sz w:val="24"/>
      <w:szCs w:val="24"/>
    </w:rPr>
  </w:style>
  <w:style w:type="paragraph" w:customStyle="1" w:styleId="53">
    <w:name w:val="text intend 3"/>
    <w:basedOn w:val="1"/>
    <w:uiPriority w:val="0"/>
    <w:pPr>
      <w:numPr>
        <w:ilvl w:val="0"/>
        <w:numId w:val="5"/>
      </w:numPr>
      <w:overflowPunct w:val="0"/>
      <w:snapToGrid/>
      <w:textAlignment w:val="baseline"/>
    </w:pPr>
    <w:rPr>
      <w:rFonts w:eastAsia="MS Mincho"/>
      <w:sz w:val="24"/>
      <w:szCs w:val="20"/>
      <w:lang w:eastAsia="en-GB"/>
    </w:rPr>
  </w:style>
  <w:style w:type="paragraph" w:customStyle="1" w:styleId="54">
    <w:name w:val="목록 단락1"/>
    <w:basedOn w:val="1"/>
    <w:qFormat/>
    <w:uiPriority w:val="34"/>
    <w:pPr>
      <w:autoSpaceDE/>
      <w:autoSpaceDN/>
      <w:adjustRightInd/>
      <w:spacing w:after="100" w:afterAutospacing="1" w:line="259" w:lineRule="auto"/>
      <w:ind w:left="840" w:leftChars="400"/>
    </w:pPr>
    <w:rPr>
      <w:rFonts w:eastAsia="MS Gothic"/>
      <w:sz w:val="24"/>
      <w:szCs w:val="20"/>
      <w:lang w:val="en-GB" w:eastAsia="ja-JP"/>
    </w:rPr>
  </w:style>
  <w:style w:type="character" w:customStyle="1" w:styleId="55">
    <w:name w:val="批注文字 字符"/>
    <w:basedOn w:val="29"/>
    <w:link w:val="16"/>
    <w:qFormat/>
    <w:uiPriority w:val="0"/>
    <w:rPr>
      <w:sz w:val="22"/>
      <w:szCs w:val="22"/>
    </w:rPr>
  </w:style>
  <w:style w:type="character" w:customStyle="1" w:styleId="56">
    <w:name w:val="批注主题 字符"/>
    <w:basedOn w:val="55"/>
    <w:link w:val="26"/>
    <w:semiHidden/>
    <w:uiPriority w:val="0"/>
    <w:rPr>
      <w:b/>
      <w:bCs/>
      <w:sz w:val="22"/>
      <w:szCs w:val="22"/>
    </w:rPr>
  </w:style>
  <w:style w:type="paragraph" w:customStyle="1" w:styleId="57">
    <w:name w:val="修订1"/>
    <w:hidden/>
    <w:semiHidden/>
    <w:uiPriority w:val="99"/>
    <w:rPr>
      <w:rFonts w:ascii="Times New Roman" w:hAnsi="Times New Roman" w:eastAsia="宋体" w:cs="Times New Roman"/>
      <w:sz w:val="22"/>
      <w:szCs w:val="22"/>
      <w:lang w:val="en-US" w:eastAsia="en-US" w:bidi="ar-SA"/>
    </w:rPr>
  </w:style>
  <w:style w:type="character" w:customStyle="1" w:styleId="58">
    <w:name w:val="apple-style-span"/>
    <w:basedOn w:val="29"/>
    <w:uiPriority w:val="0"/>
  </w:style>
  <w:style w:type="character" w:customStyle="1" w:styleId="59">
    <w:name w:val="B1 Char1"/>
    <w:link w:val="48"/>
    <w:qFormat/>
    <w:uiPriority w:val="0"/>
    <w:rPr>
      <w:rFonts w:eastAsia="MS Mincho"/>
      <w:lang w:val="en-GB"/>
    </w:rPr>
  </w:style>
  <w:style w:type="character" w:customStyle="1" w:styleId="60">
    <w:name w:val="Caption Char1"/>
    <w:uiPriority w:val="0"/>
    <w:rPr>
      <w:rFonts w:eastAsia="宋体" w:cs="Times New Roman"/>
      <w:b/>
      <w:bCs/>
      <w:sz w:val="20"/>
      <w:szCs w:val="20"/>
      <w:lang w:val="en-GB" w:eastAsia="zh-CN"/>
    </w:rPr>
  </w:style>
  <w:style w:type="paragraph" w:customStyle="1" w:styleId="61">
    <w:name w:val="PL"/>
    <w:link w:val="6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62">
    <w:name w:val="PL Char"/>
    <w:link w:val="61"/>
    <w:qFormat/>
    <w:uiPriority w:val="0"/>
    <w:rPr>
      <w:rFonts w:ascii="Courier New" w:hAnsi="Courier New" w:eastAsia="Times New Roman"/>
      <w:sz w:val="16"/>
      <w:lang w:val="en-GB" w:eastAsia="ja-JP"/>
    </w:rPr>
  </w:style>
  <w:style w:type="paragraph" w:customStyle="1" w:styleId="63">
    <w:name w:val="3GPP Text"/>
    <w:basedOn w:val="1"/>
    <w:link w:val="64"/>
    <w:qFormat/>
    <w:uiPriority w:val="0"/>
    <w:pPr>
      <w:overflowPunct w:val="0"/>
      <w:snapToGrid/>
      <w:spacing w:before="120"/>
      <w:textAlignment w:val="baseline"/>
    </w:pPr>
    <w:rPr>
      <w:szCs w:val="20"/>
    </w:rPr>
  </w:style>
  <w:style w:type="character" w:customStyle="1" w:styleId="64">
    <w:name w:val="3GPP Text Char"/>
    <w:link w:val="63"/>
    <w:qFormat/>
    <w:uiPriority w:val="0"/>
    <w:rPr>
      <w:sz w:val="22"/>
    </w:rPr>
  </w:style>
  <w:style w:type="paragraph" w:customStyle="1" w:styleId="65">
    <w:name w:val="Tdoc_Header_2"/>
    <w:basedOn w:val="1"/>
    <w:qFormat/>
    <w:uiPriority w:val="0"/>
    <w:pPr>
      <w:widowControl w:val="0"/>
      <w:tabs>
        <w:tab w:val="left" w:pos="1701"/>
        <w:tab w:val="right" w:pos="9072"/>
        <w:tab w:val="right" w:pos="10206"/>
      </w:tabs>
      <w:autoSpaceDE/>
      <w:autoSpaceDN/>
      <w:adjustRightInd/>
      <w:snapToGrid/>
      <w:spacing w:after="0"/>
    </w:pPr>
    <w:rPr>
      <w:rFonts w:ascii="Arial" w:hAnsi="Arial" w:eastAsia="Batang"/>
      <w:b/>
      <w:sz w:val="18"/>
      <w:szCs w:val="20"/>
      <w:lang w:val="en-GB"/>
    </w:rPr>
  </w:style>
  <w:style w:type="paragraph" w:customStyle="1" w:styleId="66">
    <w:name w:val="3GPP_Header"/>
    <w:basedOn w:val="1"/>
    <w:qFormat/>
    <w:uiPriority w:val="0"/>
    <w:pPr>
      <w:tabs>
        <w:tab w:val="left" w:pos="1701"/>
        <w:tab w:val="right" w:pos="9639"/>
      </w:tabs>
      <w:autoSpaceDE/>
      <w:autoSpaceDN/>
      <w:adjustRightInd/>
      <w:snapToGrid/>
      <w:spacing w:after="240"/>
      <w:jc w:val="left"/>
    </w:pPr>
    <w:rPr>
      <w:rFonts w:eastAsia="Times New Roman"/>
      <w:b/>
      <w:sz w:val="24"/>
      <w:szCs w:val="24"/>
      <w:lang w:eastAsia="zh-CN"/>
    </w:rPr>
  </w:style>
  <w:style w:type="character" w:customStyle="1" w:styleId="67">
    <w:name w:val="apple-converted-space"/>
    <w:qFormat/>
    <w:uiPriority w:val="0"/>
  </w:style>
  <w:style w:type="paragraph" w:customStyle="1" w:styleId="68">
    <w:name w:val="text intend 1"/>
    <w:basedOn w:val="1"/>
    <w:uiPriority w:val="0"/>
    <w:pPr>
      <w:numPr>
        <w:ilvl w:val="0"/>
        <w:numId w:val="6"/>
      </w:numPr>
      <w:overflowPunct w:val="0"/>
      <w:snapToGrid/>
      <w:textAlignment w:val="baseline"/>
    </w:pPr>
    <w:rPr>
      <w:rFonts w:ascii="Calibri" w:hAnsi="Calibri" w:eastAsia="MS Mincho" w:cs="Calibri"/>
      <w:szCs w:val="20"/>
      <w:lang w:val="fi-FI" w:eastAsia="fi-FI"/>
    </w:rPr>
  </w:style>
  <w:style w:type="character" w:styleId="69">
    <w:name w:val="Placeholder Text"/>
    <w:basedOn w:val="29"/>
    <w:semiHidden/>
    <w:uiPriority w:val="99"/>
    <w:rPr>
      <w:color w:val="666666"/>
    </w:rPr>
  </w:style>
  <w:style w:type="paragraph" w:customStyle="1" w:styleId="70">
    <w:name w:val="Doc-text2"/>
    <w:basedOn w:val="1"/>
    <w:link w:val="71"/>
    <w:qFormat/>
    <w:uiPriority w:val="0"/>
    <w:pPr>
      <w:tabs>
        <w:tab w:val="left" w:pos="1622"/>
      </w:tabs>
      <w:overflowPunct w:val="0"/>
      <w:snapToGrid/>
      <w:spacing w:after="0"/>
      <w:ind w:left="1622" w:hanging="363"/>
      <w:jc w:val="left"/>
      <w:textAlignment w:val="baseline"/>
    </w:pPr>
    <w:rPr>
      <w:rFonts w:ascii="Arial" w:hAnsi="Arial" w:eastAsia="Times New Roman"/>
      <w:sz w:val="20"/>
      <w:szCs w:val="20"/>
      <w:lang w:val="en-GB" w:eastAsia="ja-JP"/>
    </w:rPr>
  </w:style>
  <w:style w:type="character" w:customStyle="1" w:styleId="71">
    <w:name w:val="Doc-text2 Char"/>
    <w:link w:val="70"/>
    <w:qFormat/>
    <w:uiPriority w:val="0"/>
    <w:rPr>
      <w:rFonts w:ascii="Arial" w:hAnsi="Arial" w:eastAsia="Times New Roman"/>
      <w:lang w:val="en-GB" w:eastAsia="ja-JP"/>
    </w:rPr>
  </w:style>
  <w:style w:type="character" w:customStyle="1" w:styleId="72">
    <w:name w:val="列表段落 字符3"/>
    <w:qFormat/>
    <w:locked/>
    <w:uiPriority w:val="34"/>
    <w:rPr>
      <w:rFonts w:eastAsia="宋体"/>
      <w:lang w:eastAsia="ja-JP"/>
    </w:rPr>
  </w:style>
  <w:style w:type="paragraph" w:customStyle="1" w:styleId="73">
    <w:name w:val="Statement Body"/>
    <w:basedOn w:val="1"/>
    <w:qFormat/>
    <w:uiPriority w:val="0"/>
    <w:pPr>
      <w:numPr>
        <w:ilvl w:val="0"/>
        <w:numId w:val="7"/>
      </w:numPr>
      <w:tabs>
        <w:tab w:val="left" w:pos="0"/>
      </w:tabs>
      <w:autoSpaceDE/>
      <w:autoSpaceDN/>
      <w:adjustRightInd/>
      <w:snapToGrid/>
      <w:spacing w:after="100" w:afterAutospacing="1"/>
      <w:ind w:left="0"/>
      <w:contextualSpacing/>
      <w:jc w:val="left"/>
    </w:pPr>
    <w:rPr>
      <w:rFonts w:eastAsia="Times New Roman"/>
      <w:szCs w:val="24"/>
      <w:lang w:eastAsia="ko-KR"/>
    </w:rPr>
  </w:style>
  <w:style w:type="paragraph" w:customStyle="1" w:styleId="74">
    <w:name w:val="修订2"/>
    <w:hidden/>
    <w:unhideWhenUsed/>
    <w:uiPriority w:val="99"/>
    <w:rPr>
      <w:rFonts w:ascii="Times New Roman" w:hAnsi="Times New Roman" w:eastAsia="宋体" w:cs="Times New Roman"/>
      <w:sz w:val="22"/>
      <w:szCs w:val="22"/>
      <w:lang w:val="en-US" w:eastAsia="en-US" w:bidi="ar-SA"/>
    </w:rPr>
  </w:style>
  <w:style w:type="character" w:customStyle="1" w:styleId="75">
    <w:name w:val="列表段落 字符4"/>
    <w:qFormat/>
    <w:locked/>
    <w:uiPriority w:val="34"/>
    <w:rPr>
      <w:rFonts w:eastAsia="宋体"/>
      <w:lang w:eastAsia="ja-JP"/>
    </w:rPr>
  </w:style>
  <w:style w:type="paragraph" w:customStyle="1" w:styleId="76">
    <w:name w:val="TAL"/>
    <w:basedOn w:val="1"/>
    <w:link w:val="81"/>
    <w:qFormat/>
    <w:uiPriority w:val="0"/>
    <w:pPr>
      <w:keepNext/>
      <w:keepLines/>
      <w:autoSpaceDE/>
      <w:autoSpaceDN/>
      <w:adjustRightInd/>
      <w:snapToGrid/>
      <w:spacing w:after="0"/>
      <w:jc w:val="left"/>
    </w:pPr>
    <w:rPr>
      <w:rFonts w:ascii="Arial" w:hAnsi="Arial" w:eastAsiaTheme="minorEastAsia"/>
      <w:sz w:val="18"/>
      <w:szCs w:val="20"/>
      <w:lang w:val="en-GB"/>
    </w:rPr>
  </w:style>
  <w:style w:type="paragraph" w:customStyle="1" w:styleId="77">
    <w:name w:val="TAH"/>
    <w:basedOn w:val="78"/>
    <w:link w:val="80"/>
    <w:qFormat/>
    <w:uiPriority w:val="0"/>
    <w:rPr>
      <w:b/>
    </w:rPr>
  </w:style>
  <w:style w:type="paragraph" w:customStyle="1" w:styleId="78">
    <w:name w:val="TAC"/>
    <w:basedOn w:val="76"/>
    <w:link w:val="82"/>
    <w:qFormat/>
    <w:uiPriority w:val="0"/>
    <w:pPr>
      <w:jc w:val="center"/>
    </w:pPr>
  </w:style>
  <w:style w:type="paragraph" w:customStyle="1" w:styleId="79">
    <w:name w:val="TAN"/>
    <w:basedOn w:val="76"/>
    <w:qFormat/>
    <w:uiPriority w:val="0"/>
    <w:pPr>
      <w:ind w:left="851" w:hanging="851"/>
    </w:pPr>
  </w:style>
  <w:style w:type="character" w:customStyle="1" w:styleId="80">
    <w:name w:val="TAH Car"/>
    <w:link w:val="77"/>
    <w:qFormat/>
    <w:uiPriority w:val="0"/>
    <w:rPr>
      <w:rFonts w:ascii="Arial" w:hAnsi="Arial" w:eastAsiaTheme="minorEastAsia"/>
      <w:b/>
      <w:sz w:val="18"/>
      <w:lang w:val="en-GB" w:eastAsia="en-US"/>
    </w:rPr>
  </w:style>
  <w:style w:type="character" w:customStyle="1" w:styleId="81">
    <w:name w:val="TAL Char"/>
    <w:link w:val="76"/>
    <w:qFormat/>
    <w:locked/>
    <w:uiPriority w:val="0"/>
    <w:rPr>
      <w:rFonts w:ascii="Arial" w:hAnsi="Arial" w:eastAsiaTheme="minorEastAsia"/>
      <w:sz w:val="18"/>
      <w:lang w:val="en-GB" w:eastAsia="en-US"/>
    </w:rPr>
  </w:style>
  <w:style w:type="character" w:customStyle="1" w:styleId="82">
    <w:name w:val="TAC Char"/>
    <w:link w:val="78"/>
    <w:qFormat/>
    <w:uiPriority w:val="0"/>
    <w:rPr>
      <w:rFonts w:ascii="Arial" w:hAnsi="Arial" w:eastAsiaTheme="minorEastAsia"/>
      <w:sz w:val="18"/>
      <w:lang w:val="en-GB" w:eastAsia="en-US"/>
    </w:rPr>
  </w:style>
  <w:style w:type="character" w:customStyle="1" w:styleId="83">
    <w:name w:val="未处理的提及1"/>
    <w:basedOn w:val="29"/>
    <w:semiHidden/>
    <w:unhideWhenUsed/>
    <w:uiPriority w:val="99"/>
    <w:rPr>
      <w:color w:val="605E5C"/>
      <w:shd w:val="clear" w:color="auto" w:fill="E1DFDD"/>
    </w:rPr>
  </w:style>
  <w:style w:type="paragraph" w:customStyle="1" w:styleId="84">
    <w:name w:val="修订3"/>
    <w:hidden/>
    <w:unhideWhenUsed/>
    <w:uiPriority w:val="99"/>
    <w:rPr>
      <w:rFonts w:ascii="Times New Roman" w:hAnsi="Times New Roman" w:eastAsia="宋体" w:cs="Times New Roman"/>
      <w:sz w:val="22"/>
      <w:szCs w:val="22"/>
      <w:lang w:val="en-US" w:eastAsia="en-US" w:bidi="ar-SA"/>
    </w:rPr>
  </w:style>
  <w:style w:type="paragraph" w:customStyle="1" w:styleId="85">
    <w:name w:val="First Paragraph"/>
    <w:basedOn w:val="5"/>
    <w:next w:val="5"/>
    <w:qFormat/>
    <w:uiPriority w:val="0"/>
  </w:style>
  <w:style w:type="paragraph" w:customStyle="1" w:styleId="86">
    <w:name w:val="Compact"/>
    <w:basedOn w:val="5"/>
    <w:qFormat/>
    <w:uiPriority w:val="0"/>
    <w:pPr>
      <w:spacing w:before="36" w:after="36"/>
    </w:pPr>
  </w:style>
  <w:style w:type="table" w:customStyle="1" w:styleId="87">
    <w:name w:val="Table"/>
    <w:semiHidden/>
    <w:unhideWhenUsed/>
    <w:qFormat/>
    <w:uiPriority w:val="0"/>
    <w:tblPr>
      <w:tblCellMar>
        <w:top w:w="0" w:type="dxa"/>
        <w:left w:w="108" w:type="dxa"/>
        <w:bottom w:w="0" w:type="dxa"/>
        <w:right w:w="108" w:type="dxa"/>
      </w:tblCellMar>
    </w:tblPr>
    <w:tblStylePr w:type="firstRow">
      <w:tcPr>
        <w:tcBorders>
          <w:bottom w:val="single" w:color="auto" w:sz="0" w:space="0"/>
        </w:tcBorders>
        <w:vAlign w:val="bottom"/>
      </w:tcPr>
    </w:tblStylePr>
  </w:style>
  <w:style w:type="paragraph" w:customStyle="1" w:styleId="88">
    <w:name w:val="TH"/>
    <w:basedOn w:val="1"/>
    <w:qFormat/>
    <w:uiPriority w:val="0"/>
    <w:pPr>
      <w:keepNext/>
      <w:keepLines/>
      <w:spacing w:before="60"/>
      <w:jc w:val="center"/>
    </w:pPr>
    <w:rPr>
      <w:rFonts w:ascii="Arial" w:hAnsi="Arial"/>
      <w:b/>
    </w:rPr>
  </w:style>
  <w:style w:type="table" w:customStyle="1" w:styleId="89">
    <w:name w:val="Table Grid1"/>
    <w:basedOn w:val="27"/>
    <w:qFormat/>
    <w:uiPriority w:val="0"/>
    <w:pPr>
      <w:suppressAutoHyphens/>
      <w:spacing w:after="180"/>
    </w:pPr>
    <w:rPr>
      <w:rFonts w:ascii="CG Times (WN)" w:hAnsi="CG Times (WN)" w:eastAsia="PMingLiU"/>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http://schemas.openxmlformats.org/officeDocument/2006/bibliography"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DAA2AC-F740-48E7-A2F5-DC0FA6563092}">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Company>
  <Pages>49</Pages>
  <Words>59616</Words>
  <Characters>77502</Characters>
  <Lines>2672</Lines>
  <Paragraphs>2247</Paragraphs>
  <TotalTime>2</TotalTime>
  <ScaleCrop>false</ScaleCrop>
  <LinksUpToDate>false</LinksUpToDate>
  <CharactersWithSpaces>134871</CharactersWithSpaces>
  <Application>WPS Office_7.2.1.8947_F1E327BC-269C-435d-A152-05C5408002CA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2024-05-16T18:32:00Z</dcterms:created>
  <dc:creator>Brian Classon</dc:creator>
  <cp:lastModifiedBy>简荣灵</cp:lastModifiedBy>
  <cp:lastPrinted>2007-06-27T14:08:00Z</cp:lastPrinted>
  <dcterms:modified xsi:type="dcterms:W3CDTF">2025-11-07T14:19:36Z</dcterms:modified>
  <cp:revision>893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2052-7.2.1.8947</vt:lpwstr>
  </property>
  <property fmtid="{D5CDD505-2E9C-101B-9397-08002B2CF9AE}" pid="23" name="ICV">
    <vt:lpwstr>EB484D0486C58C14AB5ADE68B3B5A31D_43</vt:lpwstr>
  </property>
</Properties>
</file>